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ascii="Arial" w:hAnsi="Arial" w:cs="Arial"/>
          <w:b/>
          <w:sz w:val="24"/>
          <w:szCs w:val="24"/>
        </w:rPr>
      </w:pPr>
      <w:bookmarkStart w:id="0" w:name="Title"/>
      <w:bookmarkEnd w:id="0"/>
      <w:bookmarkStart w:id="1" w:name="DocumentFor"/>
      <w:bookmarkEnd w:id="1"/>
      <w:bookmarkStart w:id="2" w:name="OLE_LINK1"/>
      <w:r>
        <w:rPr>
          <w:rFonts w:ascii="Arial" w:hAnsi="Arial" w:cs="Arial"/>
          <w:b/>
          <w:sz w:val="24"/>
          <w:szCs w:val="24"/>
        </w:rPr>
        <w:t xml:space="preserve">3GPP TSG-RAN WG4 Meeting # </w:t>
      </w:r>
      <w:r>
        <w:rPr>
          <w:rFonts w:hint="eastAsia" w:ascii="Arial" w:hAnsi="Arial" w:cs="Arial"/>
          <w:b/>
          <w:sz w:val="24"/>
          <w:szCs w:val="24"/>
        </w:rPr>
        <w:t>106bis-e</w:t>
      </w:r>
      <w:r>
        <w:rPr>
          <w:rFonts w:hint="eastAsia" w:ascii="Arial" w:hAnsi="Arial" w:cs="Arial"/>
          <w:b/>
          <w:color w:val="FF0000"/>
          <w:sz w:val="24"/>
          <w:szCs w:val="24"/>
        </w:rPr>
        <w:t xml:space="preserve"> </w:t>
      </w:r>
      <w:r>
        <w:rPr>
          <w:rFonts w:hint="eastAsia" w:ascii="Arial" w:hAnsi="Arial" w:cs="Arial"/>
          <w:b/>
          <w:sz w:val="24"/>
          <w:szCs w:val="24"/>
        </w:rPr>
        <w:t xml:space="preserve">                              R4-2304692</w:t>
      </w:r>
    </w:p>
    <w:bookmarkEnd w:id="2"/>
    <w:p>
      <w:pPr>
        <w:pStyle w:val="15"/>
        <w:widowControl w:val="0"/>
        <w:tabs>
          <w:tab w:val="right" w:pos="10440"/>
          <w:tab w:val="right" w:pos="13323"/>
          <w:tab w:val="clear" w:pos="4680"/>
          <w:tab w:val="clear" w:pos="9360"/>
        </w:tabs>
        <w:spacing w:beforeLines="0" w:afterLines="0"/>
        <w:outlineLvl w:val="0"/>
        <w:rPr>
          <w:rFonts w:ascii="Arial" w:hAnsi="Arial" w:cs="Arial"/>
          <w:b/>
          <w:sz w:val="24"/>
          <w:szCs w:val="24"/>
        </w:rPr>
      </w:pPr>
      <w:r>
        <w:rPr>
          <w:rFonts w:hint="eastAsia" w:ascii="Arial" w:hAnsi="Arial" w:eastAsia="宋体" w:cs="Arial"/>
          <w:b/>
          <w:sz w:val="24"/>
          <w:szCs w:val="24"/>
          <w:lang w:eastAsia="zh-CN"/>
        </w:rPr>
        <w:t>Online, April 17 – April 26, 2023</w:t>
      </w:r>
    </w:p>
    <w:p>
      <w:pPr>
        <w:pStyle w:val="14"/>
        <w:widowControl w:val="0"/>
        <w:spacing w:before="120" w:after="120"/>
        <w:jc w:val="both"/>
        <w:rPr>
          <w:b/>
          <w:i/>
          <w:sz w:val="24"/>
        </w:rPr>
      </w:pPr>
    </w:p>
    <w:p>
      <w:pPr>
        <w:widowControl w:val="0"/>
        <w:tabs>
          <w:tab w:val="left" w:pos="1985"/>
        </w:tabs>
        <w:spacing w:before="120" w:after="120" w:line="240" w:lineRule="auto"/>
        <w:outlineLvl w:val="0"/>
        <w:rPr>
          <w:rStyle w:val="59"/>
          <w:b/>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Discussion on ATG scenarios</w:t>
      </w:r>
    </w:p>
    <w:p>
      <w:pPr>
        <w:widowControl w:val="0"/>
        <w:tabs>
          <w:tab w:val="left" w:pos="1985"/>
        </w:tabs>
        <w:spacing w:before="120" w:after="120"/>
        <w:outlineLvl w:val="0"/>
        <w:rPr>
          <w:rStyle w:val="59"/>
          <w:b/>
        </w:rPr>
      </w:pPr>
      <w:r>
        <w:rPr>
          <w:rStyle w:val="59"/>
          <w:rFonts w:hint="eastAsia"/>
          <w:b/>
        </w:rPr>
        <w:t xml:space="preserve">Source: </w:t>
      </w:r>
      <w:r>
        <w:rPr>
          <w:rStyle w:val="59"/>
          <w:rFonts w:hint="eastAsia"/>
          <w:b/>
        </w:rPr>
        <w:tab/>
      </w:r>
      <w:r>
        <w:rPr>
          <w:rStyle w:val="59"/>
          <w:rFonts w:hint="eastAsia"/>
          <w:b/>
        </w:rPr>
        <w:t>ZTE Corporation</w:t>
      </w:r>
    </w:p>
    <w:p>
      <w:pPr>
        <w:widowControl w:val="0"/>
        <w:tabs>
          <w:tab w:val="left" w:pos="1985"/>
        </w:tabs>
        <w:spacing w:before="120" w:after="120"/>
        <w:outlineLvl w:val="0"/>
        <w:rPr>
          <w:rStyle w:val="59"/>
          <w:rFonts w:hint="default" w:eastAsia="宋体"/>
          <w:b/>
          <w:lang w:val="en-US" w:eastAsia="zh-CN"/>
        </w:rPr>
      </w:pPr>
      <w:r>
        <w:rPr>
          <w:rStyle w:val="59"/>
          <w:rFonts w:hint="eastAsia"/>
          <w:b/>
          <w:lang w:val="pt-BR"/>
        </w:rPr>
        <w:t>Agenda item:</w:t>
      </w:r>
      <w:r>
        <w:rPr>
          <w:rStyle w:val="59"/>
          <w:rFonts w:hint="eastAsia"/>
          <w:b/>
          <w:lang w:val="pt-BR"/>
        </w:rPr>
        <w:tab/>
      </w:r>
      <w:r>
        <w:rPr>
          <w:rStyle w:val="59"/>
          <w:rFonts w:hint="eastAsia"/>
          <w:b/>
          <w:color w:val="auto"/>
          <w:lang w:val="en-US" w:eastAsia="zh-CN"/>
        </w:rPr>
        <w:t>5</w:t>
      </w:r>
      <w:r>
        <w:rPr>
          <w:rStyle w:val="59"/>
          <w:rFonts w:hint="eastAsia"/>
          <w:b/>
          <w:color w:val="auto"/>
        </w:rPr>
        <w:t>.</w:t>
      </w:r>
      <w:r>
        <w:rPr>
          <w:rStyle w:val="59"/>
          <w:rFonts w:hint="eastAsia"/>
          <w:b/>
          <w:color w:val="auto"/>
          <w:lang w:val="en-US" w:eastAsia="zh-CN"/>
        </w:rPr>
        <w:t>14</w:t>
      </w:r>
      <w:r>
        <w:rPr>
          <w:rStyle w:val="59"/>
          <w:rFonts w:hint="eastAsia"/>
          <w:b/>
          <w:color w:val="auto"/>
        </w:rPr>
        <w:t>.</w:t>
      </w:r>
      <w:r>
        <w:rPr>
          <w:rStyle w:val="59"/>
          <w:rFonts w:hint="eastAsia"/>
          <w:b/>
          <w:color w:val="auto"/>
          <w:lang w:val="en-US" w:eastAsia="zh-CN"/>
        </w:rPr>
        <w:t>5.1</w:t>
      </w:r>
    </w:p>
    <w:p>
      <w:pPr>
        <w:widowControl w:val="0"/>
        <w:tabs>
          <w:tab w:val="left" w:pos="1985"/>
        </w:tabs>
        <w:spacing w:before="120" w:after="120"/>
        <w:outlineLvl w:val="0"/>
        <w:rPr>
          <w:rStyle w:val="59"/>
          <w:b/>
          <w:lang w:val="pt-BR"/>
        </w:rPr>
      </w:pPr>
      <w:r>
        <w:rPr>
          <w:rStyle w:val="59"/>
          <w:rFonts w:hint="eastAsia"/>
          <w:b/>
          <w:lang w:val="pt-BR"/>
        </w:rPr>
        <w:t>Document for:</w:t>
      </w:r>
      <w:r>
        <w:rPr>
          <w:rStyle w:val="59"/>
          <w:rFonts w:hint="eastAsia"/>
          <w:b/>
          <w:lang w:val="pt-BR"/>
        </w:rPr>
        <w:tab/>
      </w:r>
      <w:r>
        <w:rPr>
          <w:rStyle w:val="59"/>
          <w:rFonts w:hint="eastAsia"/>
          <w:b/>
        </w:rPr>
        <w:t>Approval</w:t>
      </w:r>
    </w:p>
    <w:p>
      <w:pPr>
        <w:keepNext/>
        <w:keepLines/>
        <w:widowControl w:val="0"/>
        <w:pBdr>
          <w:top w:val="single" w:color="auto" w:sz="12" w:space="3"/>
        </w:pBdr>
        <w:spacing w:beforeLines="0" w:afterLines="0"/>
        <w:jc w:val="left"/>
        <w:outlineLvl w:val="0"/>
        <w:rPr>
          <w:i/>
          <w:iCs/>
        </w:rPr>
      </w:pPr>
      <w:r>
        <w:rPr>
          <w:b/>
          <w:kern w:val="0"/>
          <w:sz w:val="24"/>
          <w:szCs w:val="24"/>
        </w:rPr>
        <w:t>1 Introduction</w:t>
      </w:r>
      <w:bookmarkStart w:id="3" w:name="OLE_LINK25"/>
    </w:p>
    <w:p>
      <w:pPr>
        <w:spacing w:after="120"/>
        <w:rPr>
          <w:rFonts w:hint="eastAsia"/>
          <w:lang w:val="en-US" w:eastAsia="zh-CN"/>
        </w:rPr>
      </w:pPr>
      <w:r>
        <w:rPr>
          <w:rFonts w:hint="eastAsia"/>
          <w:lang w:val="en-US" w:eastAsia="zh-CN"/>
        </w:rPr>
        <w:t>In RAN#96e meeting</w:t>
      </w:r>
      <w:r>
        <w:rPr>
          <w:rFonts w:hint="eastAsia"/>
          <w:vertAlign w:val="superscript"/>
          <w:lang w:val="en-US" w:eastAsia="zh-CN"/>
        </w:rPr>
        <w:t>[1]</w:t>
      </w:r>
      <w:r>
        <w:rPr>
          <w:rFonts w:hint="eastAsia"/>
          <w:lang w:val="en-US" w:eastAsia="zh-CN"/>
        </w:rPr>
        <w:t xml:space="preserve">, the revised work item on Air-to-ground network for NR was approved as one of Rel-18 RAN4 package. </w:t>
      </w:r>
    </w:p>
    <w:p>
      <w:pPr>
        <w:spacing w:after="120"/>
        <w:rPr>
          <w:rFonts w:hint="default" w:cs="Times New Roman"/>
          <w:lang w:val="en-US" w:eastAsia="zh-CN"/>
        </w:rPr>
      </w:pPr>
      <w:r>
        <w:rPr>
          <w:rFonts w:hint="eastAsia"/>
          <w:lang w:val="en-US" w:eastAsia="zh-CN"/>
        </w:rPr>
        <w:t>During the last RAN4 meeting, some conclusions has been reached for ATG scenarios and deployment</w:t>
      </w:r>
      <w:r>
        <w:rPr>
          <w:rFonts w:hint="eastAsia" w:cs="Times New Roman"/>
          <w:lang w:val="en-US" w:eastAsia="zh-CN"/>
        </w:rPr>
        <w:t xml:space="preserve"> which are listed below</w:t>
      </w:r>
      <w:r>
        <w:rPr>
          <w:rFonts w:hint="eastAsia" w:cs="Times New Roman"/>
          <w:vertAlign w:val="superscript"/>
          <w:lang w:val="en-US" w:eastAsia="zh-CN"/>
        </w:rPr>
        <w:t>[2]</w:t>
      </w:r>
      <w:r>
        <w:rPr>
          <w:rFonts w:hint="eastAsia" w:cs="Times New Roman"/>
          <w:lang w:val="en-US" w:eastAsia="zh-CN"/>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rFonts w:eastAsiaTheme="minorEastAsia"/>
                <w:b/>
                <w:sz w:val="20"/>
                <w:szCs w:val="20"/>
                <w:u w:val="single"/>
              </w:rPr>
            </w:pPr>
            <w:r>
              <w:rPr>
                <w:b/>
                <w:sz w:val="20"/>
                <w:szCs w:val="20"/>
                <w:u w:val="single"/>
                <w:lang w:eastAsia="ko-KR"/>
              </w:rPr>
              <w:t>Issue 1-1-1: Scenario</w:t>
            </w:r>
          </w:p>
          <w:p>
            <w:pPr>
              <w:numPr>
                <w:ilvl w:val="0"/>
                <w:numId w:val="7"/>
              </w:numPr>
              <w:overflowPunct w:val="0"/>
              <w:autoSpaceDE w:val="0"/>
              <w:autoSpaceDN w:val="0"/>
              <w:adjustRightInd w:val="0"/>
              <w:spacing w:after="120"/>
              <w:textAlignment w:val="baseline"/>
              <w:rPr>
                <w:rFonts w:eastAsia="宋体"/>
                <w:sz w:val="20"/>
                <w:lang w:val="en-GB"/>
              </w:rPr>
            </w:pPr>
            <w:r>
              <w:rPr>
                <w:rFonts w:eastAsia="宋体"/>
                <w:sz w:val="20"/>
                <w:lang w:val="en-GB"/>
              </w:rPr>
              <w:t xml:space="preserve">Option 1: </w:t>
            </w:r>
            <w:r>
              <w:rPr>
                <w:rFonts w:eastAsia="MS Mincho"/>
                <w:sz w:val="20"/>
                <w:szCs w:val="20"/>
                <w:lang w:val="en-GB"/>
              </w:rPr>
              <w:t xml:space="preserve">Consider following deployment scenario for Rel-18 ATG demodulation discussion: </w:t>
            </w:r>
          </w:p>
          <w:p>
            <w:pPr>
              <w:numPr>
                <w:ilvl w:val="1"/>
                <w:numId w:val="7"/>
              </w:numPr>
              <w:overflowPunct w:val="0"/>
              <w:autoSpaceDE w:val="0"/>
              <w:autoSpaceDN w:val="0"/>
              <w:adjustRightInd w:val="0"/>
              <w:spacing w:after="120"/>
              <w:textAlignment w:val="baseline"/>
              <w:rPr>
                <w:rFonts w:eastAsia="宋体"/>
                <w:sz w:val="20"/>
                <w:lang w:val="en-GB"/>
              </w:rPr>
            </w:pPr>
            <w:r>
              <w:rPr>
                <w:rFonts w:eastAsia="宋体"/>
                <w:sz w:val="20"/>
                <w:lang w:val="en-GB"/>
              </w:rPr>
              <w:t xml:space="preserve">One ATG UE only served by one TRP from ATG BS at the same time. </w:t>
            </w:r>
          </w:p>
          <w:p>
            <w:pPr>
              <w:numPr>
                <w:ilvl w:val="1"/>
                <w:numId w:val="7"/>
              </w:numPr>
              <w:overflowPunct w:val="0"/>
              <w:autoSpaceDE w:val="0"/>
              <w:autoSpaceDN w:val="0"/>
              <w:adjustRightInd w:val="0"/>
              <w:spacing w:after="120"/>
              <w:textAlignment w:val="baseline"/>
              <w:rPr>
                <w:rFonts w:eastAsia="宋体"/>
                <w:sz w:val="20"/>
                <w:lang w:val="en-GB"/>
              </w:rPr>
            </w:pPr>
            <w:r>
              <w:rPr>
                <w:rFonts w:eastAsia="宋体"/>
                <w:sz w:val="20"/>
                <w:lang w:val="en-GB"/>
              </w:rPr>
              <w:t xml:space="preserve">ATG BS is 30m high and its beam direction is fixed and pointing to the horizon. The vertical HPBW is α and its lower boundary is parallel to the horizon. </w:t>
            </w:r>
          </w:p>
          <w:p>
            <w:pPr>
              <w:numPr>
                <w:ilvl w:val="1"/>
                <w:numId w:val="7"/>
              </w:numPr>
              <w:overflowPunct w:val="0"/>
              <w:autoSpaceDE w:val="0"/>
              <w:autoSpaceDN w:val="0"/>
              <w:adjustRightInd w:val="0"/>
              <w:spacing w:after="120"/>
              <w:textAlignment w:val="baseline"/>
              <w:rPr>
                <w:rFonts w:eastAsia="宋体"/>
                <w:sz w:val="20"/>
                <w:lang w:val="en-GB"/>
              </w:rPr>
            </w:pPr>
            <w:r>
              <w:rPr>
                <w:rFonts w:eastAsia="宋体"/>
                <w:sz w:val="20"/>
                <w:lang w:val="en-GB"/>
              </w:rPr>
              <w:t xml:space="preserve">ATG UE moving toward to ATG BS with the elevation angle from 0o to α at the speed 1200km/h. The corresponding maximum distance between UE and BS could be 200km ~300km. </w:t>
            </w:r>
          </w:p>
          <w:p>
            <w:pPr>
              <w:numPr>
                <w:ilvl w:val="1"/>
                <w:numId w:val="7"/>
              </w:numPr>
              <w:overflowPunct w:val="0"/>
              <w:autoSpaceDE w:val="0"/>
              <w:autoSpaceDN w:val="0"/>
              <w:adjustRightInd w:val="0"/>
              <w:spacing w:after="120"/>
              <w:textAlignment w:val="baseline"/>
              <w:rPr>
                <w:rFonts w:eastAsia="宋体"/>
                <w:sz w:val="20"/>
                <w:lang w:val="en-GB"/>
              </w:rPr>
            </w:pPr>
            <w:r>
              <w:rPr>
                <w:rFonts w:eastAsia="MS Mincho"/>
                <w:sz w:val="20"/>
                <w:szCs w:val="20"/>
              </w:rPr>
              <w:drawing>
                <wp:inline distT="0" distB="0" distL="0" distR="0">
                  <wp:extent cx="3783965" cy="1987550"/>
                  <wp:effectExtent l="0" t="0" r="10795"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0"/>
                          <a:stretch>
                            <a:fillRect/>
                          </a:stretch>
                        </pic:blipFill>
                        <pic:spPr>
                          <a:xfrm>
                            <a:off x="0" y="0"/>
                            <a:ext cx="3797434" cy="1994465"/>
                          </a:xfrm>
                          <a:prstGeom prst="rect">
                            <a:avLst/>
                          </a:prstGeom>
                        </pic:spPr>
                      </pic:pic>
                    </a:graphicData>
                  </a:graphic>
                </wp:inline>
              </w:drawing>
            </w:r>
          </w:p>
          <w:p>
            <w:pPr>
              <w:numPr>
                <w:ilvl w:val="0"/>
                <w:numId w:val="7"/>
              </w:numPr>
              <w:overflowPunct w:val="0"/>
              <w:autoSpaceDE w:val="0"/>
              <w:autoSpaceDN w:val="0"/>
              <w:adjustRightInd w:val="0"/>
              <w:spacing w:after="120"/>
              <w:textAlignment w:val="baseline"/>
              <w:rPr>
                <w:rFonts w:eastAsia="等线"/>
                <w:sz w:val="20"/>
                <w:lang w:val="en-GB"/>
              </w:rPr>
            </w:pPr>
            <w:r>
              <w:rPr>
                <w:rFonts w:hint="eastAsia" w:eastAsia="等线"/>
                <w:sz w:val="20"/>
                <w:lang w:val="en-GB"/>
              </w:rPr>
              <w:t>Option 2:</w:t>
            </w:r>
            <w:r>
              <w:rPr>
                <w:rFonts w:eastAsia="等线"/>
                <w:sz w:val="20"/>
                <w:lang w:val="en-GB"/>
              </w:rPr>
              <w:t xml:space="preserve"> For the perspective of demodulation, it is necessary to consider the both scenarios.</w:t>
            </w:r>
            <w:r>
              <w:rPr>
                <w:rFonts w:hint="eastAsia" w:eastAsia="等线"/>
                <w:sz w:val="20"/>
                <w:lang w:val="en-GB"/>
              </w:rPr>
              <w:t xml:space="preserve"> </w:t>
            </w:r>
          </w:p>
          <w:p>
            <w:pPr>
              <w:widowControl w:val="0"/>
              <w:numPr>
                <w:ilvl w:val="0"/>
                <w:numId w:val="7"/>
              </w:numPr>
              <w:overflowPunct w:val="0"/>
              <w:autoSpaceDE w:val="0"/>
              <w:autoSpaceDN w:val="0"/>
              <w:adjustRightInd w:val="0"/>
              <w:spacing w:before="120" w:after="120"/>
              <w:jc w:val="center"/>
              <w:textAlignment w:val="baseline"/>
              <w:rPr>
                <w:rFonts w:eastAsia="等线"/>
                <w:sz w:val="20"/>
                <w:szCs w:val="20"/>
                <w:lang w:val="en-GB" w:eastAsia="en-US"/>
              </w:rPr>
            </w:pPr>
            <w:r>
              <w:rPr>
                <w:rFonts w:eastAsia="等线"/>
                <w:sz w:val="20"/>
                <w:szCs w:val="20"/>
              </w:rPr>
              <w:drawing>
                <wp:inline distT="0" distB="0" distL="114300" distR="114300">
                  <wp:extent cx="4899660" cy="876300"/>
                  <wp:effectExtent l="0" t="0" r="7620" b="7620"/>
                  <wp:docPr id="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9"/>
                          <pic:cNvPicPr>
                            <a:picLocks noChangeAspect="1"/>
                          </pic:cNvPicPr>
                        </pic:nvPicPr>
                        <pic:blipFill>
                          <a:blip r:embed="rId11" cstate="print"/>
                          <a:stretch>
                            <a:fillRect/>
                          </a:stretch>
                        </pic:blipFill>
                        <pic:spPr>
                          <a:xfrm>
                            <a:off x="0" y="0"/>
                            <a:ext cx="4899660" cy="876300"/>
                          </a:xfrm>
                          <a:prstGeom prst="rect">
                            <a:avLst/>
                          </a:prstGeom>
                          <a:noFill/>
                          <a:ln>
                            <a:noFill/>
                          </a:ln>
                        </pic:spPr>
                      </pic:pic>
                    </a:graphicData>
                  </a:graphic>
                </wp:inline>
              </w:drawing>
            </w:r>
          </w:p>
          <w:p>
            <w:pPr>
              <w:widowControl w:val="0"/>
              <w:numPr>
                <w:ilvl w:val="0"/>
                <w:numId w:val="7"/>
              </w:numPr>
              <w:overflowPunct w:val="0"/>
              <w:autoSpaceDE w:val="0"/>
              <w:autoSpaceDN w:val="0"/>
              <w:adjustRightInd w:val="0"/>
              <w:spacing w:before="120" w:after="120"/>
              <w:jc w:val="center"/>
              <w:textAlignment w:val="baseline"/>
              <w:rPr>
                <w:rFonts w:eastAsia="等线"/>
                <w:sz w:val="20"/>
                <w:szCs w:val="20"/>
                <w:lang w:val="en-GB" w:eastAsia="en-US"/>
              </w:rPr>
            </w:pPr>
            <w:r>
              <w:rPr>
                <w:rFonts w:hint="eastAsia" w:eastAsia="等线"/>
                <w:sz w:val="20"/>
                <w:szCs w:val="20"/>
              </w:rPr>
              <w:t>Figure 2-1(a). Scenario of ATG of TN deployment</w:t>
            </w:r>
          </w:p>
          <w:p>
            <w:pPr>
              <w:widowControl w:val="0"/>
              <w:numPr>
                <w:ilvl w:val="0"/>
                <w:numId w:val="7"/>
              </w:numPr>
              <w:overflowPunct w:val="0"/>
              <w:autoSpaceDE w:val="0"/>
              <w:autoSpaceDN w:val="0"/>
              <w:adjustRightInd w:val="0"/>
              <w:spacing w:before="120" w:after="120"/>
              <w:textAlignment w:val="baseline"/>
              <w:rPr>
                <w:rFonts w:eastAsia="等线"/>
                <w:sz w:val="20"/>
                <w:szCs w:val="20"/>
                <w:lang w:val="en-GB" w:eastAsia="en-US"/>
              </w:rPr>
            </w:pPr>
            <w:r>
              <w:rPr>
                <w:rFonts w:eastAsia="等线"/>
                <w:sz w:val="20"/>
                <w:szCs w:val="20"/>
              </w:rPr>
              <w:drawing>
                <wp:inline distT="0" distB="0" distL="114300" distR="114300">
                  <wp:extent cx="5836920" cy="85344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2" cstate="print"/>
                          <a:stretch>
                            <a:fillRect/>
                          </a:stretch>
                        </pic:blipFill>
                        <pic:spPr>
                          <a:xfrm>
                            <a:off x="0" y="0"/>
                            <a:ext cx="5836920" cy="853440"/>
                          </a:xfrm>
                          <a:prstGeom prst="rect">
                            <a:avLst/>
                          </a:prstGeom>
                          <a:noFill/>
                          <a:ln>
                            <a:noFill/>
                          </a:ln>
                        </pic:spPr>
                      </pic:pic>
                    </a:graphicData>
                  </a:graphic>
                </wp:inline>
              </w:drawing>
            </w:r>
          </w:p>
          <w:p>
            <w:pPr>
              <w:widowControl w:val="0"/>
              <w:numPr>
                <w:ilvl w:val="0"/>
                <w:numId w:val="7"/>
              </w:numPr>
              <w:overflowPunct w:val="0"/>
              <w:autoSpaceDE w:val="0"/>
              <w:autoSpaceDN w:val="0"/>
              <w:adjustRightInd w:val="0"/>
              <w:spacing w:before="120" w:after="120"/>
              <w:jc w:val="center"/>
              <w:textAlignment w:val="baseline"/>
              <w:rPr>
                <w:rFonts w:eastAsia="等线"/>
                <w:sz w:val="20"/>
                <w:szCs w:val="20"/>
              </w:rPr>
            </w:pPr>
            <w:r>
              <w:rPr>
                <w:rFonts w:hint="eastAsia" w:eastAsia="等线"/>
                <w:sz w:val="20"/>
                <w:szCs w:val="20"/>
              </w:rPr>
              <w:t>Figure 2-1(b). Scenario of ATG of ATG deployment</w:t>
            </w:r>
          </w:p>
          <w:p>
            <w:pPr>
              <w:overflowPunct w:val="0"/>
              <w:autoSpaceDE w:val="0"/>
              <w:autoSpaceDN w:val="0"/>
              <w:adjustRightInd w:val="0"/>
              <w:spacing w:after="180"/>
              <w:textAlignment w:val="baseline"/>
              <w:rPr>
                <w:rFonts w:eastAsiaTheme="minorEastAsia"/>
                <w:b/>
                <w:sz w:val="20"/>
                <w:szCs w:val="20"/>
              </w:rPr>
            </w:pPr>
            <w:r>
              <w:rPr>
                <w:rFonts w:hint="eastAsia" w:eastAsiaTheme="minorEastAsia"/>
                <w:b/>
                <w:sz w:val="20"/>
                <w:szCs w:val="20"/>
              </w:rPr>
              <w:t>Agreement:</w:t>
            </w:r>
          </w:p>
          <w:p>
            <w:pPr>
              <w:numPr>
                <w:ilvl w:val="0"/>
                <w:numId w:val="7"/>
              </w:numPr>
              <w:overflowPunct w:val="0"/>
              <w:autoSpaceDE w:val="0"/>
              <w:autoSpaceDN w:val="0"/>
              <w:adjustRightInd w:val="0"/>
              <w:spacing w:after="120"/>
              <w:textAlignment w:val="baseline"/>
              <w:rPr>
                <w:rFonts w:eastAsia="宋体"/>
                <w:sz w:val="20"/>
                <w:lang w:val="en-GB"/>
              </w:rPr>
            </w:pPr>
            <w:r>
              <w:rPr>
                <w:rFonts w:eastAsia="宋体"/>
                <w:sz w:val="20"/>
                <w:lang w:val="en-GB"/>
              </w:rPr>
              <w:t>From ATG demodulation requirements perspective, at least scenario in option 1 shall be considered</w:t>
            </w:r>
          </w:p>
          <w:p>
            <w:pPr>
              <w:numPr>
                <w:ilvl w:val="1"/>
                <w:numId w:val="7"/>
              </w:numPr>
              <w:overflowPunct w:val="0"/>
              <w:autoSpaceDE w:val="0"/>
              <w:autoSpaceDN w:val="0"/>
              <w:adjustRightInd w:val="0"/>
              <w:spacing w:after="120"/>
              <w:textAlignment w:val="baseline"/>
              <w:rPr>
                <w:rFonts w:eastAsia="宋体"/>
                <w:sz w:val="20"/>
                <w:lang w:val="en-GB"/>
              </w:rPr>
            </w:pPr>
            <w:r>
              <w:rPr>
                <w:rFonts w:eastAsia="宋体"/>
                <w:sz w:val="20"/>
                <w:lang w:val="en-GB"/>
              </w:rPr>
              <w:t xml:space="preserve">FFS whether the deployment scenario </w:t>
            </w:r>
            <w:r>
              <w:rPr>
                <w:rFonts w:hint="eastAsia" w:eastAsia="宋体"/>
                <w:sz w:val="20"/>
                <w:lang w:val="en-GB"/>
              </w:rPr>
              <w:t xml:space="preserve">Figure 2-1(a). </w:t>
            </w:r>
            <w:r>
              <w:rPr>
                <w:rFonts w:eastAsia="宋体"/>
                <w:sz w:val="20"/>
                <w:lang w:val="en-GB"/>
              </w:rPr>
              <w:t>from option 2 can be considered or not</w:t>
            </w:r>
          </w:p>
          <w:p>
            <w:pPr>
              <w:numPr>
                <w:ilvl w:val="0"/>
                <w:numId w:val="7"/>
              </w:numPr>
              <w:overflowPunct w:val="0"/>
              <w:autoSpaceDE w:val="0"/>
              <w:autoSpaceDN w:val="0"/>
              <w:adjustRightInd w:val="0"/>
              <w:spacing w:after="120"/>
              <w:textAlignment w:val="baseline"/>
              <w:rPr>
                <w:rFonts w:eastAsia="宋体"/>
                <w:sz w:val="20"/>
                <w:lang w:val="en-GB"/>
              </w:rPr>
            </w:pPr>
            <w:r>
              <w:rPr>
                <w:rFonts w:eastAsia="宋体"/>
                <w:sz w:val="20"/>
                <w:lang w:val="en-GB"/>
              </w:rPr>
              <w:t>The detailed parameters need to be further discussed</w:t>
            </w:r>
          </w:p>
          <w:p>
            <w:pPr>
              <w:overflowPunct w:val="0"/>
              <w:autoSpaceDE w:val="0"/>
              <w:autoSpaceDN w:val="0"/>
              <w:adjustRightInd w:val="0"/>
              <w:spacing w:after="180"/>
              <w:textAlignment w:val="baseline"/>
              <w:rPr>
                <w:rFonts w:eastAsiaTheme="minorEastAsia"/>
                <w:b/>
                <w:sz w:val="20"/>
                <w:szCs w:val="20"/>
                <w:u w:val="single"/>
              </w:rPr>
            </w:pPr>
            <w:r>
              <w:rPr>
                <w:b/>
                <w:sz w:val="20"/>
                <w:szCs w:val="20"/>
                <w:u w:val="single"/>
                <w:lang w:eastAsia="ko-KR"/>
              </w:rPr>
              <w:t>Issue 1-1-3: Channel model</w:t>
            </w:r>
          </w:p>
          <w:p>
            <w:pPr>
              <w:overflowPunct w:val="0"/>
              <w:autoSpaceDE w:val="0"/>
              <w:autoSpaceDN w:val="0"/>
              <w:adjustRightInd w:val="0"/>
              <w:spacing w:after="180"/>
              <w:textAlignment w:val="baseline"/>
              <w:rPr>
                <w:rFonts w:eastAsiaTheme="minorEastAsia"/>
                <w:b/>
                <w:sz w:val="20"/>
                <w:szCs w:val="20"/>
              </w:rPr>
            </w:pPr>
            <w:r>
              <w:rPr>
                <w:rFonts w:hint="eastAsia" w:eastAsiaTheme="minorEastAsia"/>
                <w:b/>
                <w:sz w:val="20"/>
                <w:szCs w:val="20"/>
              </w:rPr>
              <w:t>Agreement:</w:t>
            </w:r>
          </w:p>
          <w:p>
            <w:pPr>
              <w:numPr>
                <w:ilvl w:val="0"/>
                <w:numId w:val="7"/>
              </w:numPr>
              <w:overflowPunct w:val="0"/>
              <w:autoSpaceDE w:val="0"/>
              <w:autoSpaceDN w:val="0"/>
              <w:adjustRightInd w:val="0"/>
              <w:spacing w:after="120"/>
              <w:textAlignment w:val="baseline"/>
              <w:rPr>
                <w:rFonts w:eastAsia="宋体"/>
                <w:sz w:val="20"/>
                <w:lang w:val="en-GB"/>
              </w:rPr>
            </w:pPr>
            <w:r>
              <w:rPr>
                <w:rFonts w:eastAsia="宋体"/>
                <w:sz w:val="20"/>
                <w:lang w:val="en-GB"/>
              </w:rPr>
              <w:t xml:space="preserve">Candidate channel models for ATG deployment: </w:t>
            </w:r>
          </w:p>
          <w:p>
            <w:pPr>
              <w:numPr>
                <w:ilvl w:val="1"/>
                <w:numId w:val="7"/>
              </w:numPr>
              <w:overflowPunct w:val="0"/>
              <w:autoSpaceDE w:val="0"/>
              <w:autoSpaceDN w:val="0"/>
              <w:adjustRightInd w:val="0"/>
              <w:spacing w:after="120"/>
              <w:textAlignment w:val="baseline"/>
              <w:rPr>
                <w:rFonts w:eastAsia="宋体"/>
                <w:sz w:val="20"/>
                <w:lang w:val="en-GB"/>
              </w:rPr>
            </w:pPr>
            <w:r>
              <w:rPr>
                <w:rFonts w:eastAsia="宋体"/>
                <w:sz w:val="20"/>
                <w:lang w:val="en-GB"/>
              </w:rPr>
              <w:t xml:space="preserve">Option 1: Single path AWGN channel </w:t>
            </w:r>
          </w:p>
          <w:p>
            <w:pPr>
              <w:numPr>
                <w:ilvl w:val="1"/>
                <w:numId w:val="7"/>
              </w:numPr>
              <w:overflowPunct w:val="0"/>
              <w:autoSpaceDE w:val="0"/>
              <w:autoSpaceDN w:val="0"/>
              <w:adjustRightInd w:val="0"/>
              <w:spacing w:after="120"/>
              <w:textAlignment w:val="baseline"/>
              <w:rPr>
                <w:rFonts w:eastAsia="宋体"/>
                <w:sz w:val="20"/>
                <w:lang w:val="en-GB"/>
              </w:rPr>
            </w:pPr>
            <w:r>
              <w:rPr>
                <w:rFonts w:eastAsia="宋体"/>
                <w:sz w:val="20"/>
                <w:lang w:val="en-GB"/>
              </w:rPr>
              <w:t>Option 2: NTN-TDL-C (FFS for the delay spread and K factor)</w:t>
            </w:r>
          </w:p>
          <w:p>
            <w:pPr>
              <w:numPr>
                <w:ilvl w:val="0"/>
                <w:numId w:val="7"/>
              </w:numPr>
              <w:overflowPunct w:val="0"/>
              <w:autoSpaceDE w:val="0"/>
              <w:autoSpaceDN w:val="0"/>
              <w:adjustRightInd w:val="0"/>
              <w:spacing w:after="120"/>
              <w:textAlignment w:val="baseline"/>
              <w:rPr>
                <w:lang w:val="en-US"/>
              </w:rPr>
            </w:pPr>
            <w:r>
              <w:rPr>
                <w:rFonts w:eastAsia="宋体"/>
                <w:sz w:val="20"/>
                <w:lang w:val="en-GB"/>
              </w:rPr>
              <w:t>Doppler shift assumption: 0.1 ppm</w:t>
            </w:r>
          </w:p>
        </w:tc>
      </w:tr>
    </w:tbl>
    <w:p>
      <w:pPr>
        <w:widowControl w:val="0"/>
        <w:spacing w:before="120" w:beforeLines="0" w:after="120" w:afterLines="0" w:line="240" w:lineRule="auto"/>
        <w:jc w:val="left"/>
        <w:rPr>
          <w:rFonts w:hint="default" w:eastAsia="宋体"/>
          <w:kern w:val="0"/>
          <w:sz w:val="20"/>
          <w:lang w:val="en-US" w:eastAsia="zh-CN"/>
        </w:rPr>
      </w:pPr>
      <w:r>
        <w:rPr>
          <w:rFonts w:hint="eastAsia"/>
          <w:kern w:val="0"/>
          <w:sz w:val="20"/>
          <w:lang w:val="en-US" w:eastAsia="zh-CN"/>
        </w:rPr>
        <w:t xml:space="preserve">This contribution shares some views about ATG scenario and channel model. </w:t>
      </w:r>
    </w:p>
    <w:bookmarkEnd w:id="3"/>
    <w:p>
      <w:pPr>
        <w:widowControl w:val="0"/>
        <w:pBdr>
          <w:top w:val="single" w:color="auto" w:sz="12" w:space="3"/>
        </w:pBdr>
        <w:spacing w:beforeLines="0" w:afterLines="0" w:line="240" w:lineRule="auto"/>
        <w:jc w:val="left"/>
        <w:outlineLvl w:val="0"/>
        <w:rPr>
          <w:b/>
          <w:kern w:val="0"/>
          <w:sz w:val="24"/>
          <w:szCs w:val="24"/>
        </w:rPr>
      </w:pPr>
      <w:r>
        <w:rPr>
          <w:b/>
          <w:kern w:val="0"/>
          <w:sz w:val="24"/>
          <w:szCs w:val="24"/>
        </w:rPr>
        <w:t>2</w:t>
      </w:r>
      <w:r>
        <w:rPr>
          <w:b/>
          <w:kern w:val="0"/>
          <w:sz w:val="24"/>
          <w:szCs w:val="24"/>
        </w:rPr>
        <w:tab/>
      </w:r>
      <w:r>
        <w:rPr>
          <w:b/>
          <w:kern w:val="0"/>
          <w:sz w:val="24"/>
          <w:szCs w:val="24"/>
        </w:rPr>
        <w:t>Discussion</w:t>
      </w:r>
    </w:p>
    <w:p>
      <w:pPr>
        <w:pStyle w:val="62"/>
        <w:keepLines w:val="0"/>
        <w:widowControl w:val="0"/>
        <w:spacing w:before="120" w:after="120"/>
        <w:ind w:left="0" w:firstLine="0"/>
        <w:rPr>
          <w:rFonts w:hint="eastAsia"/>
          <w:lang w:val="en-US" w:eastAsia="zh-CN"/>
        </w:rPr>
      </w:pPr>
      <w:bookmarkStart w:id="4" w:name="OLE_LINK41"/>
      <w:bookmarkStart w:id="5" w:name="OLE_LINK6"/>
      <w:bookmarkStart w:id="6" w:name="OLE_LINK66"/>
      <w:bookmarkStart w:id="7" w:name="OLE_LINK23"/>
      <w:r>
        <w:rPr>
          <w:rFonts w:hint="eastAsia"/>
          <w:lang w:val="en-US" w:eastAsia="zh-CN"/>
        </w:rPr>
        <w:t>With regard to scenario for ATG, two options are discussed during RAN4 #106 meeting, and option 1 with beam towards one direction was agreed. While option 2 is FFS.</w:t>
      </w:r>
    </w:p>
    <w:p>
      <w:pPr>
        <w:pStyle w:val="62"/>
        <w:keepLines w:val="0"/>
        <w:widowControl w:val="0"/>
        <w:spacing w:before="120" w:after="120"/>
        <w:ind w:left="0" w:firstLine="0"/>
        <w:rPr>
          <w:rFonts w:hint="default"/>
          <w:lang w:val="en-US" w:eastAsia="zh-CN"/>
        </w:rPr>
      </w:pPr>
      <w:r>
        <w:rPr>
          <w:rFonts w:hint="eastAsia"/>
          <w:lang w:val="en-US" w:eastAsia="zh-CN"/>
        </w:rPr>
        <w:t>From demodulation point of view, Doppler tracking and compensation is considered a major aspect of demodulation capability.</w:t>
      </w:r>
    </w:p>
    <w:p>
      <w:pPr>
        <w:pStyle w:val="62"/>
        <w:keepLines w:val="0"/>
        <w:widowControl w:val="0"/>
        <w:spacing w:before="120" w:after="120"/>
        <w:ind w:left="0" w:firstLine="0"/>
        <w:jc w:val="center"/>
      </w:pPr>
      <w:r>
        <w:drawing>
          <wp:inline distT="0" distB="0" distL="114300" distR="114300">
            <wp:extent cx="2580640" cy="2121535"/>
            <wp:effectExtent l="0" t="0" r="10160" b="1206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3"/>
                    <a:stretch>
                      <a:fillRect/>
                    </a:stretch>
                  </pic:blipFill>
                  <pic:spPr>
                    <a:xfrm>
                      <a:off x="0" y="0"/>
                      <a:ext cx="2580640" cy="2121535"/>
                    </a:xfrm>
                    <a:prstGeom prst="rect">
                      <a:avLst/>
                    </a:prstGeom>
                    <a:noFill/>
                    <a:ln>
                      <a:noFill/>
                    </a:ln>
                  </pic:spPr>
                </pic:pic>
              </a:graphicData>
            </a:graphic>
          </wp:inline>
        </w:drawing>
      </w:r>
      <w:r>
        <w:drawing>
          <wp:inline distT="0" distB="0" distL="114300" distR="114300">
            <wp:extent cx="2597150" cy="2129155"/>
            <wp:effectExtent l="0" t="0" r="8890" b="4445"/>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4"/>
                    <a:stretch>
                      <a:fillRect/>
                    </a:stretch>
                  </pic:blipFill>
                  <pic:spPr>
                    <a:xfrm>
                      <a:off x="0" y="0"/>
                      <a:ext cx="2597150" cy="2129155"/>
                    </a:xfrm>
                    <a:prstGeom prst="rect">
                      <a:avLst/>
                    </a:prstGeom>
                    <a:noFill/>
                    <a:ln>
                      <a:noFill/>
                    </a:ln>
                  </pic:spPr>
                </pic:pic>
              </a:graphicData>
            </a:graphic>
          </wp:inline>
        </w:drawing>
      </w:r>
    </w:p>
    <w:p>
      <w:pPr>
        <w:pStyle w:val="62"/>
        <w:keepLines w:val="0"/>
        <w:widowControl w:val="0"/>
        <w:spacing w:before="120" w:after="120"/>
        <w:ind w:left="0" w:firstLine="0"/>
        <w:jc w:val="center"/>
        <w:rPr>
          <w:rFonts w:hint="eastAsia"/>
          <w:lang w:val="en-US" w:eastAsia="zh-CN"/>
        </w:rPr>
      </w:pPr>
      <w:r>
        <w:rPr>
          <w:rFonts w:hint="eastAsia"/>
          <w:lang w:val="en-US" w:eastAsia="zh-CN"/>
        </w:rPr>
        <w:t>Figure 1-1. Doppler shift experienced by an airplane for option 1(left) and option 2(right) deployment</w:t>
      </w:r>
    </w:p>
    <w:p>
      <w:pPr>
        <w:pStyle w:val="62"/>
        <w:keepLines w:val="0"/>
        <w:widowControl w:val="0"/>
        <w:spacing w:before="120" w:after="120"/>
        <w:ind w:left="0" w:firstLine="0"/>
        <w:rPr>
          <w:rFonts w:hint="eastAsia"/>
          <w:lang w:val="en-US" w:eastAsia="zh-CN"/>
        </w:rPr>
      </w:pPr>
      <w:r>
        <w:rPr>
          <w:rFonts w:hint="eastAsia"/>
          <w:lang w:val="en-US" w:eastAsia="zh-CN"/>
        </w:rPr>
        <w:t xml:space="preserve">With regard to Doppler shift, we can find from the figures below that the Max absolute value of Doppler shift of the two option is close and option 1 has a little larger Max absolute value of Doppler shift than that of option 2. </w:t>
      </w:r>
    </w:p>
    <w:p>
      <w:pPr>
        <w:pStyle w:val="62"/>
        <w:keepLines w:val="0"/>
        <w:widowControl w:val="0"/>
        <w:spacing w:before="120" w:after="120"/>
        <w:ind w:left="0" w:firstLine="0"/>
        <w:rPr>
          <w:rFonts w:hint="eastAsia"/>
          <w:lang w:val="en-US" w:eastAsia="zh-CN"/>
        </w:rPr>
      </w:pPr>
      <w:r>
        <w:rPr>
          <w:rFonts w:hint="eastAsia"/>
          <w:lang w:val="en-US" w:eastAsia="zh-CN"/>
        </w:rPr>
        <w:t>The comparison of Max absolute Doppler shift between option 1 and option 2 is listed in the table below</w:t>
      </w:r>
    </w:p>
    <w:p>
      <w:pPr>
        <w:pStyle w:val="62"/>
        <w:keepLines w:val="0"/>
        <w:widowControl w:val="0"/>
        <w:spacing w:before="120" w:after="120"/>
        <w:ind w:left="0" w:firstLine="0"/>
        <w:jc w:val="center"/>
        <w:rPr>
          <w:rFonts w:hint="eastAsia"/>
          <w:lang w:val="en-US" w:eastAsia="zh-CN"/>
        </w:rPr>
      </w:pPr>
      <w:r>
        <w:rPr>
          <w:rFonts w:hint="eastAsia"/>
          <w:lang w:val="en-US" w:eastAsia="zh-CN"/>
        </w:rPr>
        <w:t>Table 1-1. Comparison of Max absolute value of Doppler shift between option 1 and option 2</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83"/>
        <w:gridCol w:w="2883"/>
        <w:gridCol w:w="2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62"/>
              <w:keepNext w:val="0"/>
              <w:keepLines w:val="0"/>
              <w:pageBreakBefore w:val="0"/>
              <w:widowControl w:val="0"/>
              <w:kinsoku/>
              <w:wordWrap/>
              <w:overflowPunct/>
              <w:topLinePunct w:val="0"/>
              <w:autoSpaceDE/>
              <w:autoSpaceDN/>
              <w:bidi w:val="0"/>
              <w:adjustRightInd/>
              <w:snapToGrid/>
              <w:spacing w:after="180"/>
              <w:ind w:left="0" w:leftChars="0" w:firstLine="0" w:firstLineChars="0"/>
              <w:textAlignment w:val="auto"/>
              <w:rPr>
                <w:rFonts w:hint="default"/>
                <w:vertAlign w:val="baseline"/>
                <w:lang w:val="en-US" w:eastAsia="zh-CN"/>
              </w:rPr>
            </w:pPr>
            <w:r>
              <w:rPr>
                <w:rFonts w:hint="eastAsia"/>
                <w:vertAlign w:val="baseline"/>
                <w:lang w:val="en-US" w:eastAsia="zh-CN"/>
              </w:rPr>
              <w:t>Max absolute Doppler of option1</w:t>
            </w:r>
          </w:p>
        </w:tc>
        <w:tc>
          <w:tcPr>
            <w:tcW w:w="0" w:type="auto"/>
            <w:vAlign w:val="top"/>
          </w:tcPr>
          <w:p>
            <w:pPr>
              <w:pStyle w:val="62"/>
              <w:keepNext w:val="0"/>
              <w:keepLines w:val="0"/>
              <w:pageBreakBefore w:val="0"/>
              <w:widowControl w:val="0"/>
              <w:kinsoku/>
              <w:wordWrap/>
              <w:overflowPunct/>
              <w:topLinePunct w:val="0"/>
              <w:autoSpaceDE/>
              <w:autoSpaceDN/>
              <w:bidi w:val="0"/>
              <w:adjustRightInd/>
              <w:snapToGrid/>
              <w:spacing w:after="180"/>
              <w:ind w:left="0" w:leftChars="0" w:firstLine="0" w:firstLineChars="0"/>
              <w:textAlignment w:val="auto"/>
              <w:rPr>
                <w:rFonts w:hint="default" w:ascii="Times New Roman" w:hAnsi="Times New Roman" w:eastAsia="宋体" w:cs="Times New Roman"/>
                <w:kern w:val="0"/>
                <w:sz w:val="20"/>
                <w:vertAlign w:val="baseline"/>
                <w:lang w:val="en-US" w:eastAsia="zh-CN" w:bidi="ar-SA"/>
              </w:rPr>
            </w:pPr>
            <w:r>
              <w:rPr>
                <w:rFonts w:hint="eastAsia"/>
                <w:vertAlign w:val="baseline"/>
                <w:lang w:val="en-US" w:eastAsia="zh-CN"/>
              </w:rPr>
              <w:t>Max absolute Doppler of option2</w:t>
            </w:r>
          </w:p>
        </w:tc>
        <w:tc>
          <w:tcPr>
            <w:tcW w:w="0" w:type="auto"/>
          </w:tcPr>
          <w:p>
            <w:pPr>
              <w:pStyle w:val="62"/>
              <w:keepNext w:val="0"/>
              <w:keepLines w:val="0"/>
              <w:pageBreakBefore w:val="0"/>
              <w:widowControl w:val="0"/>
              <w:kinsoku/>
              <w:wordWrap/>
              <w:overflowPunct/>
              <w:topLinePunct w:val="0"/>
              <w:autoSpaceDE/>
              <w:autoSpaceDN/>
              <w:bidi w:val="0"/>
              <w:adjustRightInd/>
              <w:snapToGrid/>
              <w:spacing w:after="180"/>
              <w:ind w:left="0" w:leftChars="0" w:firstLine="0" w:firstLineChars="0"/>
              <w:textAlignment w:val="auto"/>
              <w:rPr>
                <w:rFonts w:hint="default"/>
                <w:vertAlign w:val="baseline"/>
                <w:lang w:val="en-US" w:eastAsia="zh-CN"/>
              </w:rPr>
            </w:pPr>
            <w:r>
              <w:rPr>
                <w:rFonts w:hint="eastAsia"/>
                <w:vertAlign w:val="baseline"/>
                <w:lang w:val="en-US" w:eastAsia="zh-CN"/>
              </w:rPr>
              <w:t>Difference between the Max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62"/>
              <w:keepNext w:val="0"/>
              <w:keepLines w:val="0"/>
              <w:pageBreakBefore w:val="0"/>
              <w:widowControl w:val="0"/>
              <w:kinsoku/>
              <w:wordWrap/>
              <w:overflowPunct/>
              <w:topLinePunct w:val="0"/>
              <w:autoSpaceDE/>
              <w:autoSpaceDN/>
              <w:bidi w:val="0"/>
              <w:adjustRightInd/>
              <w:snapToGrid/>
              <w:spacing w:after="180"/>
              <w:ind w:left="0" w:leftChars="0" w:firstLine="0" w:firstLineChars="0"/>
              <w:jc w:val="center"/>
              <w:textAlignment w:val="auto"/>
              <w:rPr>
                <w:rFonts w:hint="default"/>
                <w:vertAlign w:val="baseline"/>
                <w:lang w:val="en-US" w:eastAsia="zh-CN"/>
              </w:rPr>
            </w:pPr>
            <w:r>
              <w:rPr>
                <w:rFonts w:hint="eastAsia"/>
                <w:vertAlign w:val="baseline"/>
                <w:lang w:val="en-US" w:eastAsia="zh-CN"/>
              </w:rPr>
              <w:t>2331Hz</w:t>
            </w:r>
          </w:p>
        </w:tc>
        <w:tc>
          <w:tcPr>
            <w:tcW w:w="0" w:type="auto"/>
          </w:tcPr>
          <w:p>
            <w:pPr>
              <w:pStyle w:val="62"/>
              <w:keepNext w:val="0"/>
              <w:keepLines w:val="0"/>
              <w:pageBreakBefore w:val="0"/>
              <w:widowControl w:val="0"/>
              <w:kinsoku/>
              <w:wordWrap/>
              <w:overflowPunct/>
              <w:topLinePunct w:val="0"/>
              <w:autoSpaceDE/>
              <w:autoSpaceDN/>
              <w:bidi w:val="0"/>
              <w:adjustRightInd/>
              <w:snapToGrid/>
              <w:spacing w:after="180"/>
              <w:ind w:left="0" w:leftChars="0" w:firstLine="0" w:firstLineChars="0"/>
              <w:jc w:val="center"/>
              <w:textAlignment w:val="auto"/>
              <w:rPr>
                <w:rFonts w:hint="default"/>
                <w:vertAlign w:val="baseline"/>
                <w:lang w:val="en-US" w:eastAsia="zh-CN"/>
              </w:rPr>
            </w:pPr>
            <w:r>
              <w:rPr>
                <w:rFonts w:hint="eastAsia"/>
                <w:vertAlign w:val="baseline"/>
                <w:lang w:val="en-US" w:eastAsia="zh-CN"/>
              </w:rPr>
              <w:t>2322Hz</w:t>
            </w:r>
          </w:p>
        </w:tc>
        <w:tc>
          <w:tcPr>
            <w:tcW w:w="0" w:type="auto"/>
          </w:tcPr>
          <w:p>
            <w:pPr>
              <w:pStyle w:val="62"/>
              <w:keepNext w:val="0"/>
              <w:keepLines w:val="0"/>
              <w:pageBreakBefore w:val="0"/>
              <w:widowControl w:val="0"/>
              <w:kinsoku/>
              <w:wordWrap/>
              <w:overflowPunct/>
              <w:topLinePunct w:val="0"/>
              <w:autoSpaceDE/>
              <w:autoSpaceDN/>
              <w:bidi w:val="0"/>
              <w:adjustRightInd/>
              <w:snapToGrid/>
              <w:spacing w:after="180"/>
              <w:ind w:left="0" w:leftChars="0" w:firstLine="0" w:firstLineChars="0"/>
              <w:jc w:val="center"/>
              <w:textAlignment w:val="auto"/>
              <w:rPr>
                <w:rFonts w:hint="default"/>
                <w:vertAlign w:val="baseline"/>
                <w:lang w:val="en-US" w:eastAsia="zh-CN"/>
              </w:rPr>
            </w:pPr>
            <w:r>
              <w:rPr>
                <w:rFonts w:hint="eastAsia"/>
                <w:vertAlign w:val="baseline"/>
                <w:lang w:val="en-US" w:eastAsia="zh-CN"/>
              </w:rPr>
              <w:t>9Hz</w:t>
            </w:r>
          </w:p>
        </w:tc>
      </w:tr>
    </w:tbl>
    <w:p>
      <w:pPr>
        <w:pStyle w:val="62"/>
        <w:keepLines w:val="0"/>
        <w:widowControl w:val="0"/>
        <w:spacing w:before="120" w:after="120"/>
        <w:ind w:left="0" w:firstLine="0"/>
        <w:rPr>
          <w:rFonts w:hint="default"/>
          <w:lang w:val="en-US" w:eastAsia="zh-CN"/>
        </w:rPr>
      </w:pPr>
      <w:r>
        <w:rPr>
          <w:rFonts w:hint="eastAsia"/>
          <w:lang w:val="en-US" w:eastAsia="zh-CN"/>
        </w:rPr>
        <w:t xml:space="preserve">The Max absolute value of Doppler shift between option1 and option2 is about 9Hz </w:t>
      </w:r>
    </w:p>
    <w:p>
      <w:pPr>
        <w:pStyle w:val="62"/>
        <w:keepLines w:val="0"/>
        <w:widowControl w:val="0"/>
        <w:spacing w:before="120" w:after="120"/>
        <w:ind w:left="0" w:firstLine="0"/>
        <w:rPr>
          <w:rFonts w:hint="eastAsia"/>
          <w:lang w:val="en-US" w:eastAsia="zh-CN"/>
        </w:rPr>
      </w:pPr>
      <w:r>
        <w:rPr>
          <w:rFonts w:hint="eastAsia"/>
          <w:b/>
          <w:bCs/>
          <w:i/>
          <w:iCs/>
          <w:kern w:val="2"/>
          <w:lang w:val="en-US" w:eastAsia="zh-CN"/>
        </w:rPr>
        <w:t>Observation 1. The Max absolute value of Doppler shift of these two options is very close.</w:t>
      </w:r>
    </w:p>
    <w:p>
      <w:pPr>
        <w:pStyle w:val="62"/>
        <w:keepLines w:val="0"/>
        <w:widowControl w:val="0"/>
        <w:spacing w:before="120" w:after="120"/>
        <w:ind w:left="0" w:firstLine="0"/>
        <w:rPr>
          <w:rFonts w:hint="eastAsia"/>
          <w:lang w:val="en-US" w:eastAsia="zh-CN"/>
        </w:rPr>
      </w:pPr>
      <w:r>
        <w:rPr>
          <w:rFonts w:hint="eastAsia"/>
          <w:lang w:val="en-US" w:eastAsia="zh-CN"/>
        </w:rPr>
        <w:t>Regarding the switching point, there is a significant difference in Doppler shift variation between the two options which can be found in figure 1-1 that option 1 undergoes a smaller range of Doppler shift jumps while option 2 undergoes a larger range of Doppler shift jumps, i.e., option 2 undergoes a jump from a positive maximum to a negative minimum or vice versa.</w:t>
      </w:r>
    </w:p>
    <w:p>
      <w:pPr>
        <w:pStyle w:val="62"/>
        <w:keepLines w:val="0"/>
        <w:widowControl w:val="0"/>
        <w:spacing w:before="120" w:after="120"/>
        <w:ind w:left="0" w:firstLine="0"/>
        <w:rPr>
          <w:rFonts w:hint="eastAsia"/>
          <w:lang w:val="en-US" w:eastAsia="zh-CN"/>
        </w:rPr>
      </w:pPr>
      <w:r>
        <w:rPr>
          <w:rFonts w:hint="eastAsia"/>
          <w:b/>
          <w:bCs/>
          <w:i/>
          <w:iCs/>
          <w:kern w:val="2"/>
          <w:lang w:val="en-US" w:eastAsia="zh-CN"/>
        </w:rPr>
        <w:t>Observation 2. The Doppler shift variation at the switching point for option1 and option2 are different.</w:t>
      </w:r>
    </w:p>
    <w:p>
      <w:pPr>
        <w:pStyle w:val="62"/>
        <w:keepLines w:val="0"/>
        <w:widowControl w:val="0"/>
        <w:spacing w:before="120" w:after="120"/>
        <w:ind w:left="0" w:firstLine="0"/>
        <w:rPr>
          <w:rFonts w:hint="eastAsia"/>
          <w:lang w:val="en-US" w:eastAsia="zh-CN"/>
        </w:rPr>
      </w:pPr>
      <w:r>
        <w:rPr>
          <w:rFonts w:hint="eastAsia"/>
          <w:lang w:val="en-US" w:eastAsia="zh-CN"/>
        </w:rPr>
        <w:t>Whether consider the process of a UE going through a switching point from one cell to another or not needs to be discussed. If it is not necessary to consider the process of the switching point, selecting only option 1 as the demodulation evaluation option can be considered.</w:t>
      </w:r>
    </w:p>
    <w:p>
      <w:pPr>
        <w:pStyle w:val="62"/>
        <w:keepLines w:val="0"/>
        <w:widowControl w:val="0"/>
        <w:spacing w:before="120" w:after="120"/>
        <w:ind w:left="0" w:firstLine="0"/>
        <w:rPr>
          <w:rFonts w:hint="eastAsia"/>
          <w:lang w:val="en-US" w:eastAsia="zh-CN"/>
        </w:rPr>
      </w:pPr>
      <w:r>
        <w:rPr>
          <w:rFonts w:hint="eastAsia"/>
          <w:b/>
          <w:bCs/>
          <w:i/>
          <w:iCs/>
          <w:kern w:val="2"/>
          <w:lang w:val="en-US" w:eastAsia="zh-CN"/>
        </w:rPr>
        <w:t>Proposal 1. To select option1 for ATG demodulation evaluation if the process of a UE going through a switching point from one cell to another is not considered.</w:t>
      </w:r>
    </w:p>
    <w:p>
      <w:pPr>
        <w:pStyle w:val="62"/>
        <w:keepLines w:val="0"/>
        <w:widowControl w:val="0"/>
        <w:spacing w:before="120" w:after="120"/>
        <w:ind w:left="0" w:firstLine="0"/>
        <w:rPr>
          <w:rFonts w:hint="default"/>
          <w:lang w:val="en-US" w:eastAsia="zh-CN"/>
        </w:rPr>
      </w:pPr>
      <w:r>
        <w:rPr>
          <w:rFonts w:hint="eastAsia"/>
          <w:lang w:val="en-US" w:eastAsia="zh-CN"/>
        </w:rPr>
        <w:t>With regard to channel model, two option were reached in RAN4# 106 meeting. For airline coverage networks, the location of ATG BS will be optimized so that LOS propagation environment can be expected. Therefore the single path AWGN is preferred for ATG demodulation evaluation. For the values of channel matrix, identity matrix can be considered. There may be differences between ATG propagation environment and that of NTN as NTN UE may be obstructed by surrounding objects, therefore AWGN channel model is more suitable for ATG.</w:t>
      </w:r>
    </w:p>
    <w:bookmarkEnd w:id="4"/>
    <w:bookmarkEnd w:id="5"/>
    <w:p>
      <w:pPr>
        <w:pStyle w:val="62"/>
        <w:keepLines w:val="0"/>
        <w:widowControl w:val="0"/>
        <w:spacing w:before="120" w:after="120"/>
        <w:ind w:left="0" w:firstLine="0"/>
        <w:rPr>
          <w:rFonts w:hint="eastAsia"/>
          <w:lang w:val="en-US" w:eastAsia="zh-CN"/>
        </w:rPr>
      </w:pPr>
      <w:bookmarkStart w:id="8" w:name="OLE_LINK28"/>
      <w:bookmarkStart w:id="9" w:name="OLE_LINK11"/>
      <w:r>
        <w:rPr>
          <w:rFonts w:hint="eastAsia"/>
          <w:b/>
          <w:bCs/>
          <w:i/>
          <w:iCs/>
          <w:kern w:val="2"/>
          <w:lang w:val="en-US" w:eastAsia="zh-CN"/>
        </w:rPr>
        <w:t>Proposal 2. To adopt single tap AWGN channel for ATG demodulation evaluation.</w:t>
      </w:r>
    </w:p>
    <w:p>
      <w:pPr>
        <w:pStyle w:val="62"/>
        <w:keepLines w:val="0"/>
        <w:widowControl w:val="0"/>
        <w:spacing w:before="120" w:after="120"/>
        <w:ind w:left="0" w:firstLine="0"/>
        <w:rPr>
          <w:lang w:val="en-US" w:eastAsia="zh-CN"/>
        </w:rPr>
      </w:pPr>
    </w:p>
    <w:bookmarkEnd w:id="6"/>
    <w:bookmarkEnd w:id="7"/>
    <w:bookmarkEnd w:id="8"/>
    <w:bookmarkEnd w:id="9"/>
    <w:p>
      <w:pPr>
        <w:keepNext/>
        <w:keepLines/>
        <w:widowControl w:val="0"/>
        <w:pBdr>
          <w:top w:val="single" w:color="auto" w:sz="12" w:space="3"/>
        </w:pBdr>
        <w:spacing w:beforeLines="0" w:afterLines="0" w:line="240" w:lineRule="auto"/>
        <w:jc w:val="left"/>
        <w:outlineLvl w:val="0"/>
        <w:rPr>
          <w:b/>
          <w:kern w:val="0"/>
          <w:sz w:val="24"/>
          <w:szCs w:val="24"/>
        </w:rPr>
      </w:pPr>
      <w:r>
        <w:rPr>
          <w:b/>
          <w:kern w:val="0"/>
          <w:sz w:val="24"/>
          <w:szCs w:val="24"/>
        </w:rPr>
        <w:t>3 Conclusion</w:t>
      </w:r>
    </w:p>
    <w:p>
      <w:pPr>
        <w:widowControl w:val="0"/>
        <w:numPr>
          <w:ilvl w:val="255"/>
          <w:numId w:val="0"/>
        </w:numPr>
        <w:spacing w:before="120" w:beforeLines="0" w:after="120" w:afterLines="0" w:line="240" w:lineRule="auto"/>
        <w:jc w:val="left"/>
        <w:rPr>
          <w:bCs/>
          <w:kern w:val="0"/>
          <w:szCs w:val="21"/>
        </w:rPr>
      </w:pPr>
      <w:r>
        <w:rPr>
          <w:rFonts w:hint="eastAsia"/>
          <w:sz w:val="20"/>
        </w:rPr>
        <w:t xml:space="preserve">In this contribution, we give some discussions for </w:t>
      </w:r>
      <w:r>
        <w:rPr>
          <w:rFonts w:hint="eastAsia"/>
          <w:sz w:val="20"/>
          <w:lang w:val="en-US" w:eastAsia="zh-CN"/>
        </w:rPr>
        <w:t>ATG scenario</w:t>
      </w:r>
      <w:r>
        <w:rPr>
          <w:rFonts w:hint="eastAsia"/>
          <w:sz w:val="20"/>
        </w:rPr>
        <w:t xml:space="preserve">. </w:t>
      </w:r>
    </w:p>
    <w:p>
      <w:pPr>
        <w:widowControl w:val="0"/>
        <w:numPr>
          <w:ilvl w:val="255"/>
          <w:numId w:val="0"/>
        </w:numPr>
        <w:spacing w:before="120" w:beforeLines="0" w:after="120" w:afterLines="0" w:line="240" w:lineRule="auto"/>
        <w:jc w:val="left"/>
        <w:rPr>
          <w:bCs/>
          <w:kern w:val="0"/>
          <w:szCs w:val="21"/>
        </w:rPr>
      </w:pPr>
      <w:r>
        <w:rPr>
          <w:rFonts w:hint="eastAsia"/>
          <w:bCs/>
          <w:kern w:val="0"/>
          <w:szCs w:val="21"/>
        </w:rPr>
        <w:t>The conclusions are:</w:t>
      </w:r>
    </w:p>
    <w:p>
      <w:pPr>
        <w:pStyle w:val="62"/>
        <w:keepLines w:val="0"/>
        <w:widowControl w:val="0"/>
        <w:spacing w:before="120" w:after="120"/>
        <w:ind w:left="0" w:firstLine="0"/>
        <w:rPr>
          <w:rFonts w:hint="eastAsia"/>
          <w:lang w:val="en-US" w:eastAsia="zh-CN"/>
        </w:rPr>
      </w:pPr>
      <w:r>
        <w:rPr>
          <w:rFonts w:hint="eastAsia"/>
          <w:b/>
          <w:bCs/>
          <w:i/>
          <w:iCs/>
          <w:kern w:val="2"/>
          <w:lang w:val="en-US" w:eastAsia="zh-CN"/>
        </w:rPr>
        <w:t>Observation 1. The Max absolute value of Doppler shift of these two options is very close.</w:t>
      </w:r>
    </w:p>
    <w:p>
      <w:pPr>
        <w:pStyle w:val="62"/>
        <w:keepLines w:val="0"/>
        <w:widowControl w:val="0"/>
        <w:spacing w:before="120" w:after="120"/>
        <w:ind w:left="0" w:firstLine="0"/>
        <w:rPr>
          <w:rFonts w:hint="eastAsia"/>
          <w:lang w:val="en-US" w:eastAsia="zh-CN"/>
        </w:rPr>
      </w:pPr>
      <w:r>
        <w:rPr>
          <w:rFonts w:hint="eastAsia"/>
          <w:b/>
          <w:bCs/>
          <w:i/>
          <w:iCs/>
          <w:kern w:val="2"/>
          <w:lang w:val="en-US" w:eastAsia="zh-CN"/>
        </w:rPr>
        <w:t>Observation 2. The Doppler shift variation at the switching point for option1 and option2 are different.</w:t>
      </w:r>
    </w:p>
    <w:p>
      <w:pPr>
        <w:pStyle w:val="62"/>
        <w:keepLines w:val="0"/>
        <w:widowControl w:val="0"/>
        <w:spacing w:before="120" w:after="120"/>
        <w:ind w:left="0" w:firstLine="0"/>
        <w:rPr>
          <w:rFonts w:hint="eastAsia"/>
          <w:lang w:val="en-US" w:eastAsia="zh-CN"/>
        </w:rPr>
      </w:pPr>
      <w:r>
        <w:rPr>
          <w:rFonts w:hint="eastAsia"/>
          <w:b/>
          <w:bCs/>
          <w:i/>
          <w:iCs/>
          <w:kern w:val="2"/>
          <w:lang w:val="en-US" w:eastAsia="zh-CN"/>
        </w:rPr>
        <w:t>Proposal 1. To sel</w:t>
      </w:r>
      <w:bookmarkStart w:id="11" w:name="_GoBack"/>
      <w:bookmarkEnd w:id="11"/>
      <w:r>
        <w:rPr>
          <w:rFonts w:hint="eastAsia"/>
          <w:b/>
          <w:bCs/>
          <w:i/>
          <w:iCs/>
          <w:kern w:val="2"/>
          <w:lang w:val="en-US" w:eastAsia="zh-CN"/>
        </w:rPr>
        <w:t>ect option1 for ATG demodulation evaluation if the process of a UE going through a switching point from one cell to another is not considered.</w:t>
      </w:r>
    </w:p>
    <w:p>
      <w:pPr>
        <w:pStyle w:val="62"/>
        <w:keepLines w:val="0"/>
        <w:widowControl w:val="0"/>
        <w:spacing w:before="120" w:after="120"/>
        <w:ind w:left="0" w:firstLine="0"/>
        <w:rPr>
          <w:rFonts w:hint="eastAsia"/>
          <w:lang w:val="en-US" w:eastAsia="zh-CN"/>
        </w:rPr>
      </w:pPr>
      <w:r>
        <w:rPr>
          <w:rFonts w:hint="eastAsia"/>
          <w:b/>
          <w:bCs/>
          <w:i/>
          <w:iCs/>
          <w:kern w:val="2"/>
          <w:lang w:val="en-US" w:eastAsia="zh-CN"/>
        </w:rPr>
        <w:t>Proposal 2. To adopt single tap AWGN channel for ATG demodulation evaluation.</w:t>
      </w:r>
    </w:p>
    <w:p>
      <w:pPr>
        <w:pStyle w:val="62"/>
        <w:keepLines w:val="0"/>
        <w:widowControl w:val="0"/>
        <w:spacing w:before="120" w:after="120"/>
        <w:ind w:left="0" w:firstLine="0"/>
        <w:rPr>
          <w:rFonts w:hint="default"/>
          <w:b/>
          <w:bCs/>
          <w:i/>
          <w:iCs/>
          <w:kern w:val="2"/>
          <w:lang w:val="en-US" w:eastAsia="zh-CN"/>
        </w:rPr>
      </w:pPr>
    </w:p>
    <w:p>
      <w:pPr>
        <w:keepNext/>
        <w:keepLines/>
        <w:widowControl w:val="0"/>
        <w:pBdr>
          <w:top w:val="single" w:color="auto" w:sz="12" w:space="3"/>
        </w:pBdr>
        <w:spacing w:beforeLines="0" w:afterLines="0"/>
        <w:jc w:val="left"/>
        <w:outlineLvl w:val="0"/>
        <w:rPr>
          <w:b/>
          <w:kern w:val="0"/>
          <w:sz w:val="24"/>
          <w:szCs w:val="24"/>
        </w:rPr>
      </w:pPr>
      <w:r>
        <w:rPr>
          <w:b/>
          <w:kern w:val="0"/>
          <w:sz w:val="24"/>
          <w:szCs w:val="24"/>
        </w:rPr>
        <w:t>4</w:t>
      </w:r>
      <w:r>
        <w:rPr>
          <w:b/>
          <w:kern w:val="0"/>
          <w:sz w:val="24"/>
          <w:szCs w:val="24"/>
        </w:rPr>
        <w:tab/>
      </w:r>
      <w:r>
        <w:rPr>
          <w:b/>
          <w:kern w:val="0"/>
          <w:sz w:val="24"/>
          <w:szCs w:val="24"/>
        </w:rPr>
        <w:t>Reference</w:t>
      </w:r>
    </w:p>
    <w:p>
      <w:pPr>
        <w:widowControl w:val="0"/>
        <w:tabs>
          <w:tab w:val="left" w:pos="90"/>
          <w:tab w:val="left" w:pos="1868"/>
          <w:tab w:val="right" w:pos="10648"/>
        </w:tabs>
        <w:spacing w:beforeLines="0" w:afterLines="0" w:line="260" w:lineRule="auto"/>
        <w:jc w:val="left"/>
        <w:rPr>
          <w:rFonts w:hint="default"/>
          <w:sz w:val="20"/>
          <w:lang w:val="en-US" w:eastAsia="zh-CN"/>
        </w:rPr>
      </w:pPr>
      <w:r>
        <w:rPr>
          <w:rFonts w:hint="eastAsia"/>
          <w:sz w:val="20"/>
        </w:rPr>
        <w:t xml:space="preserve">[1] </w:t>
      </w:r>
      <w:bookmarkStart w:id="10" w:name="OLE_LINK32"/>
      <w:r>
        <w:rPr>
          <w:rFonts w:hint="eastAsia"/>
          <w:sz w:val="20"/>
          <w:lang w:val="en-US" w:eastAsia="zh-CN"/>
        </w:rPr>
        <w:t xml:space="preserve"> </w:t>
      </w:r>
      <w:bookmarkEnd w:id="10"/>
      <w:r>
        <w:rPr>
          <w:rFonts w:hint="eastAsia"/>
          <w:sz w:val="20"/>
        </w:rPr>
        <w:t>RP-221369, Revised WID on Air-to-ground network for NR, CMCC</w:t>
      </w:r>
    </w:p>
    <w:p>
      <w:pPr>
        <w:widowControl w:val="0"/>
        <w:tabs>
          <w:tab w:val="left" w:pos="90"/>
          <w:tab w:val="left" w:pos="1868"/>
          <w:tab w:val="right" w:pos="10648"/>
        </w:tabs>
        <w:spacing w:beforeLines="0" w:afterLines="0" w:line="260" w:lineRule="auto"/>
        <w:jc w:val="left"/>
        <w:rPr>
          <w:rFonts w:hint="default" w:eastAsia="宋体"/>
          <w:sz w:val="20"/>
          <w:lang w:val="en-US" w:eastAsia="zh-CN"/>
        </w:rPr>
      </w:pPr>
      <w:r>
        <w:rPr>
          <w:rFonts w:hint="eastAsia"/>
          <w:sz w:val="20"/>
        </w:rPr>
        <w:t>[</w:t>
      </w:r>
      <w:r>
        <w:rPr>
          <w:rFonts w:hint="eastAsia"/>
          <w:sz w:val="20"/>
          <w:lang w:val="en-US" w:eastAsia="zh-CN"/>
        </w:rPr>
        <w:t>2</w:t>
      </w:r>
      <w:r>
        <w:rPr>
          <w:rFonts w:hint="eastAsia"/>
          <w:sz w:val="20"/>
        </w:rPr>
        <w:t>]</w:t>
      </w:r>
      <w:r>
        <w:rPr>
          <w:rFonts w:hint="eastAsia"/>
          <w:sz w:val="20"/>
          <w:lang w:val="en-US" w:eastAsia="zh-CN"/>
        </w:rPr>
        <w:t xml:space="preserve">  </w:t>
      </w:r>
      <w:r>
        <w:rPr>
          <w:rFonts w:hint="eastAsia"/>
          <w:sz w:val="20"/>
        </w:rPr>
        <w:t>R4-2302996</w:t>
      </w:r>
      <w:r>
        <w:rPr>
          <w:rFonts w:hint="eastAsia"/>
          <w:sz w:val="20"/>
          <w:lang w:val="en-US" w:eastAsia="zh-CN"/>
        </w:rPr>
        <w:t xml:space="preserve">, </w:t>
      </w:r>
      <w:r>
        <w:rPr>
          <w:rFonts w:hint="eastAsia"/>
          <w:sz w:val="20"/>
        </w:rPr>
        <w:t>WF for ATG demodulation requirements</w:t>
      </w:r>
      <w:r>
        <w:rPr>
          <w:rFonts w:hint="eastAsia"/>
          <w:sz w:val="20"/>
          <w:lang w:val="en-US" w:eastAsia="zh-CN"/>
        </w:rPr>
        <w:t>, CMCC</w:t>
      </w:r>
    </w:p>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Yu Mincho">
    <w:altName w:val="MS Mincho"/>
    <w:panose1 w:val="00000000000000000000"/>
    <w:charset w:val="80"/>
    <w:family w:val="roman"/>
    <w:pitch w:val="default"/>
    <w:sig w:usb0="00000000" w:usb1="00000000" w:usb2="00000012" w:usb3="00000000" w:csb0="000200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3"/>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0"/>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1"/>
      <w:lvlText w:val="[%1]"/>
      <w:lvlJc w:val="left"/>
      <w:pPr>
        <w:tabs>
          <w:tab w:val="left" w:pos="360"/>
        </w:tabs>
        <w:ind w:left="360" w:hanging="360"/>
      </w:p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0"/>
      <w:numFmt w:val="bullet"/>
      <w:lvlText w:val="-"/>
      <w:lvlJc w:val="left"/>
      <w:pPr>
        <w:ind w:left="4536" w:hanging="360"/>
      </w:pPr>
      <w:rPr>
        <w:rFonts w:hint="default" w:ascii="Times New Roman" w:hAnsi="Times New Roman" w:eastAsia="Yu Mincho" w:cs="Times New Roman"/>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5BAA8B4C"/>
    <w:multiLevelType w:val="multilevel"/>
    <w:tmpl w:val="5BAA8B4C"/>
    <w:lvl w:ilvl="0" w:tentative="0">
      <w:start w:val="1"/>
      <w:numFmt w:val="decimal"/>
      <w:pStyle w:val="29"/>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6"/>
  </w:num>
  <w:num w:numId="3">
    <w:abstractNumId w:val="3"/>
  </w:num>
  <w:num w:numId="4">
    <w:abstractNumId w:val="4"/>
  </w:num>
  <w:num w:numId="5">
    <w:abstractNumId w:val="1"/>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val="1"/>
  <w:trackRevisions w:val="1"/>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72A3B"/>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8594F"/>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51CB"/>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1C4D"/>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01B41"/>
    <w:rsid w:val="01017306"/>
    <w:rsid w:val="01101B26"/>
    <w:rsid w:val="011A0B49"/>
    <w:rsid w:val="011B4658"/>
    <w:rsid w:val="014A0623"/>
    <w:rsid w:val="01536583"/>
    <w:rsid w:val="01764F01"/>
    <w:rsid w:val="018107C9"/>
    <w:rsid w:val="01854FE9"/>
    <w:rsid w:val="018E207B"/>
    <w:rsid w:val="0190283E"/>
    <w:rsid w:val="019D155B"/>
    <w:rsid w:val="01A428BB"/>
    <w:rsid w:val="01AE307F"/>
    <w:rsid w:val="01B35169"/>
    <w:rsid w:val="01C00B7B"/>
    <w:rsid w:val="01D30D79"/>
    <w:rsid w:val="01D46B8D"/>
    <w:rsid w:val="01D866D8"/>
    <w:rsid w:val="01E309CA"/>
    <w:rsid w:val="01EE2663"/>
    <w:rsid w:val="01F90434"/>
    <w:rsid w:val="01FB366B"/>
    <w:rsid w:val="01FD3930"/>
    <w:rsid w:val="02045ABB"/>
    <w:rsid w:val="021B7C87"/>
    <w:rsid w:val="022D4A6E"/>
    <w:rsid w:val="023B0A39"/>
    <w:rsid w:val="023C78A7"/>
    <w:rsid w:val="02444B7E"/>
    <w:rsid w:val="024A5964"/>
    <w:rsid w:val="024B023C"/>
    <w:rsid w:val="024D6B6A"/>
    <w:rsid w:val="02510B5E"/>
    <w:rsid w:val="02566C17"/>
    <w:rsid w:val="02655431"/>
    <w:rsid w:val="027275A1"/>
    <w:rsid w:val="027371D9"/>
    <w:rsid w:val="0276366F"/>
    <w:rsid w:val="027F646E"/>
    <w:rsid w:val="0289282D"/>
    <w:rsid w:val="028F6D4C"/>
    <w:rsid w:val="02933CBB"/>
    <w:rsid w:val="02951DBD"/>
    <w:rsid w:val="029A69A7"/>
    <w:rsid w:val="029B04E7"/>
    <w:rsid w:val="02A10998"/>
    <w:rsid w:val="02AB0FBC"/>
    <w:rsid w:val="02AE6812"/>
    <w:rsid w:val="02CD7DF7"/>
    <w:rsid w:val="02D16C80"/>
    <w:rsid w:val="02DC3F9C"/>
    <w:rsid w:val="03073BDC"/>
    <w:rsid w:val="03084339"/>
    <w:rsid w:val="030B0647"/>
    <w:rsid w:val="030B2860"/>
    <w:rsid w:val="030C40C1"/>
    <w:rsid w:val="030D2F0B"/>
    <w:rsid w:val="033C68CE"/>
    <w:rsid w:val="03445E8F"/>
    <w:rsid w:val="03496C64"/>
    <w:rsid w:val="035154D3"/>
    <w:rsid w:val="03527C38"/>
    <w:rsid w:val="0356746F"/>
    <w:rsid w:val="036E37C2"/>
    <w:rsid w:val="03746F87"/>
    <w:rsid w:val="03814F5B"/>
    <w:rsid w:val="038B3141"/>
    <w:rsid w:val="03940F72"/>
    <w:rsid w:val="03A77DFA"/>
    <w:rsid w:val="03B339B1"/>
    <w:rsid w:val="03BE33CD"/>
    <w:rsid w:val="03C03714"/>
    <w:rsid w:val="03C05350"/>
    <w:rsid w:val="03C1287B"/>
    <w:rsid w:val="03C36B0E"/>
    <w:rsid w:val="03C528EA"/>
    <w:rsid w:val="03CF67FA"/>
    <w:rsid w:val="03D84C09"/>
    <w:rsid w:val="03E358F3"/>
    <w:rsid w:val="03E84DE8"/>
    <w:rsid w:val="04030035"/>
    <w:rsid w:val="04251A4C"/>
    <w:rsid w:val="042D2E97"/>
    <w:rsid w:val="04305EA0"/>
    <w:rsid w:val="04310833"/>
    <w:rsid w:val="04343921"/>
    <w:rsid w:val="043865BF"/>
    <w:rsid w:val="043A14AD"/>
    <w:rsid w:val="044C78D8"/>
    <w:rsid w:val="04537B11"/>
    <w:rsid w:val="04684A28"/>
    <w:rsid w:val="046C0EAE"/>
    <w:rsid w:val="04782230"/>
    <w:rsid w:val="0479507E"/>
    <w:rsid w:val="04894975"/>
    <w:rsid w:val="04A65723"/>
    <w:rsid w:val="04A65EB3"/>
    <w:rsid w:val="04B14B03"/>
    <w:rsid w:val="04D739DC"/>
    <w:rsid w:val="04DA1A87"/>
    <w:rsid w:val="04DE2DA3"/>
    <w:rsid w:val="04EB6DF8"/>
    <w:rsid w:val="04FF1C94"/>
    <w:rsid w:val="04FF7D5A"/>
    <w:rsid w:val="05010CF8"/>
    <w:rsid w:val="0502349F"/>
    <w:rsid w:val="050E7487"/>
    <w:rsid w:val="05161D2D"/>
    <w:rsid w:val="0522500E"/>
    <w:rsid w:val="052E568F"/>
    <w:rsid w:val="05301346"/>
    <w:rsid w:val="053973F0"/>
    <w:rsid w:val="053E65E7"/>
    <w:rsid w:val="0555228E"/>
    <w:rsid w:val="055A42CC"/>
    <w:rsid w:val="057D1D66"/>
    <w:rsid w:val="058A1B21"/>
    <w:rsid w:val="059D265F"/>
    <w:rsid w:val="05B92EC1"/>
    <w:rsid w:val="05E078B3"/>
    <w:rsid w:val="05E974AF"/>
    <w:rsid w:val="05EE6827"/>
    <w:rsid w:val="0601277E"/>
    <w:rsid w:val="06031823"/>
    <w:rsid w:val="060C5AED"/>
    <w:rsid w:val="06103146"/>
    <w:rsid w:val="06172561"/>
    <w:rsid w:val="061E54DA"/>
    <w:rsid w:val="061E5E22"/>
    <w:rsid w:val="06460B91"/>
    <w:rsid w:val="0654187C"/>
    <w:rsid w:val="065475DE"/>
    <w:rsid w:val="06556C03"/>
    <w:rsid w:val="06782F84"/>
    <w:rsid w:val="067C28D6"/>
    <w:rsid w:val="068E06BC"/>
    <w:rsid w:val="069201CB"/>
    <w:rsid w:val="06956E2E"/>
    <w:rsid w:val="06A47564"/>
    <w:rsid w:val="06B741D9"/>
    <w:rsid w:val="06C457B6"/>
    <w:rsid w:val="06CD4A70"/>
    <w:rsid w:val="06DF4C13"/>
    <w:rsid w:val="06E7678C"/>
    <w:rsid w:val="06F42A88"/>
    <w:rsid w:val="06F801C0"/>
    <w:rsid w:val="07105178"/>
    <w:rsid w:val="0712124C"/>
    <w:rsid w:val="07151A9F"/>
    <w:rsid w:val="071C13A8"/>
    <w:rsid w:val="073D143C"/>
    <w:rsid w:val="074855FD"/>
    <w:rsid w:val="074C667E"/>
    <w:rsid w:val="07627CA0"/>
    <w:rsid w:val="076319C4"/>
    <w:rsid w:val="076925D2"/>
    <w:rsid w:val="077241E3"/>
    <w:rsid w:val="078B1A95"/>
    <w:rsid w:val="078C5933"/>
    <w:rsid w:val="078D336C"/>
    <w:rsid w:val="07971B3F"/>
    <w:rsid w:val="07983294"/>
    <w:rsid w:val="079F1838"/>
    <w:rsid w:val="07A2030D"/>
    <w:rsid w:val="07A5677E"/>
    <w:rsid w:val="07B51934"/>
    <w:rsid w:val="07B9290D"/>
    <w:rsid w:val="07BE52B9"/>
    <w:rsid w:val="07BF184E"/>
    <w:rsid w:val="07C32C10"/>
    <w:rsid w:val="07C55A1A"/>
    <w:rsid w:val="07D57946"/>
    <w:rsid w:val="07EC3358"/>
    <w:rsid w:val="07ED524D"/>
    <w:rsid w:val="07EF5756"/>
    <w:rsid w:val="080124E3"/>
    <w:rsid w:val="080C7FA0"/>
    <w:rsid w:val="08193C24"/>
    <w:rsid w:val="08234820"/>
    <w:rsid w:val="08341060"/>
    <w:rsid w:val="08732D34"/>
    <w:rsid w:val="08787FF0"/>
    <w:rsid w:val="088176B0"/>
    <w:rsid w:val="0889002B"/>
    <w:rsid w:val="089B79D9"/>
    <w:rsid w:val="08A44DA6"/>
    <w:rsid w:val="08AA245A"/>
    <w:rsid w:val="08BA6E24"/>
    <w:rsid w:val="08BE42D6"/>
    <w:rsid w:val="08C024D5"/>
    <w:rsid w:val="08C562FD"/>
    <w:rsid w:val="08CA27B1"/>
    <w:rsid w:val="08D22909"/>
    <w:rsid w:val="08E916DF"/>
    <w:rsid w:val="08F473EA"/>
    <w:rsid w:val="08FC0AA5"/>
    <w:rsid w:val="09306537"/>
    <w:rsid w:val="09355076"/>
    <w:rsid w:val="09392119"/>
    <w:rsid w:val="09445E95"/>
    <w:rsid w:val="09543B3B"/>
    <w:rsid w:val="09600FBD"/>
    <w:rsid w:val="0972595C"/>
    <w:rsid w:val="098143BC"/>
    <w:rsid w:val="098500F1"/>
    <w:rsid w:val="09B060BF"/>
    <w:rsid w:val="09BD407A"/>
    <w:rsid w:val="09DA0E26"/>
    <w:rsid w:val="09E55691"/>
    <w:rsid w:val="09F67CD5"/>
    <w:rsid w:val="0A054821"/>
    <w:rsid w:val="0A0835C8"/>
    <w:rsid w:val="0A145721"/>
    <w:rsid w:val="0A355EAA"/>
    <w:rsid w:val="0A3708FF"/>
    <w:rsid w:val="0A3B01F9"/>
    <w:rsid w:val="0A3F0488"/>
    <w:rsid w:val="0A402A36"/>
    <w:rsid w:val="0A4236A3"/>
    <w:rsid w:val="0A4E7EF5"/>
    <w:rsid w:val="0A646846"/>
    <w:rsid w:val="0A8251CA"/>
    <w:rsid w:val="0A8828AB"/>
    <w:rsid w:val="0A927DC1"/>
    <w:rsid w:val="0A9B4F7F"/>
    <w:rsid w:val="0A9C263A"/>
    <w:rsid w:val="0A9D57F5"/>
    <w:rsid w:val="0A9E3D3D"/>
    <w:rsid w:val="0AA077E0"/>
    <w:rsid w:val="0AC01F88"/>
    <w:rsid w:val="0AC0212C"/>
    <w:rsid w:val="0ACE5B04"/>
    <w:rsid w:val="0AD542C1"/>
    <w:rsid w:val="0AD82BD7"/>
    <w:rsid w:val="0ADD5A20"/>
    <w:rsid w:val="0AE10FD9"/>
    <w:rsid w:val="0AF13898"/>
    <w:rsid w:val="0AFB3228"/>
    <w:rsid w:val="0AFC6C07"/>
    <w:rsid w:val="0B0025CC"/>
    <w:rsid w:val="0B0250FD"/>
    <w:rsid w:val="0B0F025C"/>
    <w:rsid w:val="0B1A6333"/>
    <w:rsid w:val="0B2713F4"/>
    <w:rsid w:val="0B3D701F"/>
    <w:rsid w:val="0B3E7DD7"/>
    <w:rsid w:val="0B561995"/>
    <w:rsid w:val="0B5C2C2A"/>
    <w:rsid w:val="0B665E0A"/>
    <w:rsid w:val="0B6A3C32"/>
    <w:rsid w:val="0B743FE2"/>
    <w:rsid w:val="0B847B39"/>
    <w:rsid w:val="0B987E20"/>
    <w:rsid w:val="0B9E71DF"/>
    <w:rsid w:val="0BAD5CC5"/>
    <w:rsid w:val="0BAD5EDC"/>
    <w:rsid w:val="0BAF59B9"/>
    <w:rsid w:val="0BB524B8"/>
    <w:rsid w:val="0BB756DF"/>
    <w:rsid w:val="0BC3647F"/>
    <w:rsid w:val="0BC63DB2"/>
    <w:rsid w:val="0BCC4043"/>
    <w:rsid w:val="0BCC4B6A"/>
    <w:rsid w:val="0BF916CE"/>
    <w:rsid w:val="0C04318C"/>
    <w:rsid w:val="0C0A1662"/>
    <w:rsid w:val="0C1E494F"/>
    <w:rsid w:val="0C3427D0"/>
    <w:rsid w:val="0C43327D"/>
    <w:rsid w:val="0C4426AF"/>
    <w:rsid w:val="0C4577EC"/>
    <w:rsid w:val="0C4F7881"/>
    <w:rsid w:val="0C5C6396"/>
    <w:rsid w:val="0C63431B"/>
    <w:rsid w:val="0C650A20"/>
    <w:rsid w:val="0C690EFA"/>
    <w:rsid w:val="0C6E11B8"/>
    <w:rsid w:val="0C6F1666"/>
    <w:rsid w:val="0C723CD1"/>
    <w:rsid w:val="0C8B63A3"/>
    <w:rsid w:val="0C960418"/>
    <w:rsid w:val="0CA3502C"/>
    <w:rsid w:val="0CB94808"/>
    <w:rsid w:val="0CC37BC2"/>
    <w:rsid w:val="0CD87ABE"/>
    <w:rsid w:val="0CE26C42"/>
    <w:rsid w:val="0CE632FF"/>
    <w:rsid w:val="0CE76B48"/>
    <w:rsid w:val="0CEB5DBE"/>
    <w:rsid w:val="0CF06BF8"/>
    <w:rsid w:val="0CFB523A"/>
    <w:rsid w:val="0D1B1E9C"/>
    <w:rsid w:val="0D4B44A1"/>
    <w:rsid w:val="0D6309C9"/>
    <w:rsid w:val="0D6811B4"/>
    <w:rsid w:val="0D6E2620"/>
    <w:rsid w:val="0D704E21"/>
    <w:rsid w:val="0D7F48FE"/>
    <w:rsid w:val="0D883C88"/>
    <w:rsid w:val="0D936E72"/>
    <w:rsid w:val="0D966BF7"/>
    <w:rsid w:val="0DC64280"/>
    <w:rsid w:val="0DC826FC"/>
    <w:rsid w:val="0DCC3AE8"/>
    <w:rsid w:val="0DD87842"/>
    <w:rsid w:val="0DDF633A"/>
    <w:rsid w:val="0DEB2AC7"/>
    <w:rsid w:val="0DF202E1"/>
    <w:rsid w:val="0DF53CE3"/>
    <w:rsid w:val="0E0961C5"/>
    <w:rsid w:val="0E147898"/>
    <w:rsid w:val="0E2F216B"/>
    <w:rsid w:val="0E3352C6"/>
    <w:rsid w:val="0E3A5EE2"/>
    <w:rsid w:val="0E4D4690"/>
    <w:rsid w:val="0E542F3B"/>
    <w:rsid w:val="0E6271DF"/>
    <w:rsid w:val="0E81568A"/>
    <w:rsid w:val="0E942250"/>
    <w:rsid w:val="0E963344"/>
    <w:rsid w:val="0E9E6E00"/>
    <w:rsid w:val="0EA40C1C"/>
    <w:rsid w:val="0EB1720D"/>
    <w:rsid w:val="0EB72E4B"/>
    <w:rsid w:val="0EEC6F1D"/>
    <w:rsid w:val="0F103291"/>
    <w:rsid w:val="0F1D498B"/>
    <w:rsid w:val="0F1E5A47"/>
    <w:rsid w:val="0F337178"/>
    <w:rsid w:val="0F3B15FC"/>
    <w:rsid w:val="0F41022A"/>
    <w:rsid w:val="0F56743B"/>
    <w:rsid w:val="0F60682C"/>
    <w:rsid w:val="0F6763D9"/>
    <w:rsid w:val="0F715B2B"/>
    <w:rsid w:val="0F764270"/>
    <w:rsid w:val="0F7A20A8"/>
    <w:rsid w:val="0F7F273F"/>
    <w:rsid w:val="0F8418ED"/>
    <w:rsid w:val="0F957B47"/>
    <w:rsid w:val="0F98796C"/>
    <w:rsid w:val="0F9F6FA4"/>
    <w:rsid w:val="0FA65D5C"/>
    <w:rsid w:val="0FAD33DA"/>
    <w:rsid w:val="0FBE2A42"/>
    <w:rsid w:val="0FC17CCE"/>
    <w:rsid w:val="0FC424B9"/>
    <w:rsid w:val="0FD70565"/>
    <w:rsid w:val="0FEC680C"/>
    <w:rsid w:val="10007AD6"/>
    <w:rsid w:val="10043420"/>
    <w:rsid w:val="101B1E8A"/>
    <w:rsid w:val="101C4A03"/>
    <w:rsid w:val="101D0C86"/>
    <w:rsid w:val="102747A4"/>
    <w:rsid w:val="103F19C7"/>
    <w:rsid w:val="104A023B"/>
    <w:rsid w:val="10505F3B"/>
    <w:rsid w:val="106D2686"/>
    <w:rsid w:val="107C3E2C"/>
    <w:rsid w:val="107D41AE"/>
    <w:rsid w:val="108C2479"/>
    <w:rsid w:val="10C715C5"/>
    <w:rsid w:val="10D335EF"/>
    <w:rsid w:val="10E746EA"/>
    <w:rsid w:val="10E83FE0"/>
    <w:rsid w:val="10EC3168"/>
    <w:rsid w:val="10F52718"/>
    <w:rsid w:val="114028DC"/>
    <w:rsid w:val="1141355F"/>
    <w:rsid w:val="116F1EB0"/>
    <w:rsid w:val="117B1D6A"/>
    <w:rsid w:val="117C2D9D"/>
    <w:rsid w:val="117F159E"/>
    <w:rsid w:val="11821DC9"/>
    <w:rsid w:val="11913775"/>
    <w:rsid w:val="11921373"/>
    <w:rsid w:val="119948AA"/>
    <w:rsid w:val="119D7849"/>
    <w:rsid w:val="11A615EE"/>
    <w:rsid w:val="11A658F4"/>
    <w:rsid w:val="11A849BE"/>
    <w:rsid w:val="11B91A57"/>
    <w:rsid w:val="11C67B8F"/>
    <w:rsid w:val="11CE730E"/>
    <w:rsid w:val="11D815C4"/>
    <w:rsid w:val="11E57D4F"/>
    <w:rsid w:val="11F92DAB"/>
    <w:rsid w:val="11FC38D5"/>
    <w:rsid w:val="1210682D"/>
    <w:rsid w:val="12243EB6"/>
    <w:rsid w:val="122F4E3A"/>
    <w:rsid w:val="123A05DB"/>
    <w:rsid w:val="124240B9"/>
    <w:rsid w:val="124D0988"/>
    <w:rsid w:val="12680E73"/>
    <w:rsid w:val="12763466"/>
    <w:rsid w:val="127E5AA6"/>
    <w:rsid w:val="128B2749"/>
    <w:rsid w:val="129019B5"/>
    <w:rsid w:val="129811DB"/>
    <w:rsid w:val="129937EE"/>
    <w:rsid w:val="129E6282"/>
    <w:rsid w:val="12AB7A32"/>
    <w:rsid w:val="12BB6535"/>
    <w:rsid w:val="12BC5A21"/>
    <w:rsid w:val="12C43A00"/>
    <w:rsid w:val="12C7312B"/>
    <w:rsid w:val="12D22971"/>
    <w:rsid w:val="12D85654"/>
    <w:rsid w:val="12DF4A87"/>
    <w:rsid w:val="12EE5106"/>
    <w:rsid w:val="1307341C"/>
    <w:rsid w:val="130B72E3"/>
    <w:rsid w:val="130C40FE"/>
    <w:rsid w:val="130E3629"/>
    <w:rsid w:val="130F03EB"/>
    <w:rsid w:val="131A4B0F"/>
    <w:rsid w:val="131B39DD"/>
    <w:rsid w:val="13283BA4"/>
    <w:rsid w:val="13332F77"/>
    <w:rsid w:val="13334E1C"/>
    <w:rsid w:val="13346EE4"/>
    <w:rsid w:val="13384952"/>
    <w:rsid w:val="1355107F"/>
    <w:rsid w:val="135D4D2E"/>
    <w:rsid w:val="1366638D"/>
    <w:rsid w:val="136D76E8"/>
    <w:rsid w:val="137266E0"/>
    <w:rsid w:val="13735B23"/>
    <w:rsid w:val="138141DF"/>
    <w:rsid w:val="139D3156"/>
    <w:rsid w:val="13AA5FA1"/>
    <w:rsid w:val="13AF6488"/>
    <w:rsid w:val="13C20262"/>
    <w:rsid w:val="13D024B3"/>
    <w:rsid w:val="13D115EF"/>
    <w:rsid w:val="13D86A45"/>
    <w:rsid w:val="13DD445E"/>
    <w:rsid w:val="13DE7C83"/>
    <w:rsid w:val="13F3590D"/>
    <w:rsid w:val="13FD073F"/>
    <w:rsid w:val="140171D9"/>
    <w:rsid w:val="1405674E"/>
    <w:rsid w:val="140815BB"/>
    <w:rsid w:val="14087FC1"/>
    <w:rsid w:val="14095006"/>
    <w:rsid w:val="141C71BE"/>
    <w:rsid w:val="141E583B"/>
    <w:rsid w:val="1424615D"/>
    <w:rsid w:val="142C143A"/>
    <w:rsid w:val="142E1345"/>
    <w:rsid w:val="145103FA"/>
    <w:rsid w:val="14513DD1"/>
    <w:rsid w:val="145F07C7"/>
    <w:rsid w:val="146B5FDD"/>
    <w:rsid w:val="146B69A8"/>
    <w:rsid w:val="146C5189"/>
    <w:rsid w:val="146F1089"/>
    <w:rsid w:val="14816B50"/>
    <w:rsid w:val="148313F4"/>
    <w:rsid w:val="14843E50"/>
    <w:rsid w:val="14934F1A"/>
    <w:rsid w:val="149559C4"/>
    <w:rsid w:val="14AC0C32"/>
    <w:rsid w:val="14C45576"/>
    <w:rsid w:val="14C76D6C"/>
    <w:rsid w:val="14CE33C4"/>
    <w:rsid w:val="14DA3DA1"/>
    <w:rsid w:val="14E10F33"/>
    <w:rsid w:val="14E60B42"/>
    <w:rsid w:val="14EA1C4D"/>
    <w:rsid w:val="14F14F3B"/>
    <w:rsid w:val="150222BF"/>
    <w:rsid w:val="150F7C33"/>
    <w:rsid w:val="1515004B"/>
    <w:rsid w:val="151B7C99"/>
    <w:rsid w:val="15207BBA"/>
    <w:rsid w:val="152B44F4"/>
    <w:rsid w:val="152F4E1B"/>
    <w:rsid w:val="15390DAF"/>
    <w:rsid w:val="154D342A"/>
    <w:rsid w:val="15520877"/>
    <w:rsid w:val="1559587F"/>
    <w:rsid w:val="1574662E"/>
    <w:rsid w:val="15751882"/>
    <w:rsid w:val="1575191B"/>
    <w:rsid w:val="157818C6"/>
    <w:rsid w:val="159F73BB"/>
    <w:rsid w:val="15B03F28"/>
    <w:rsid w:val="15B95373"/>
    <w:rsid w:val="15E30A80"/>
    <w:rsid w:val="15E73E3D"/>
    <w:rsid w:val="1608480E"/>
    <w:rsid w:val="161C1C58"/>
    <w:rsid w:val="162F7556"/>
    <w:rsid w:val="16307A49"/>
    <w:rsid w:val="16413A3A"/>
    <w:rsid w:val="1644500C"/>
    <w:rsid w:val="16461A95"/>
    <w:rsid w:val="16594F06"/>
    <w:rsid w:val="165A38E6"/>
    <w:rsid w:val="166F5E80"/>
    <w:rsid w:val="16766A92"/>
    <w:rsid w:val="167A52A9"/>
    <w:rsid w:val="167B7B40"/>
    <w:rsid w:val="167C6594"/>
    <w:rsid w:val="16866882"/>
    <w:rsid w:val="16895E32"/>
    <w:rsid w:val="168F69F2"/>
    <w:rsid w:val="16941806"/>
    <w:rsid w:val="169C7FDE"/>
    <w:rsid w:val="16A4319F"/>
    <w:rsid w:val="16AC4DDB"/>
    <w:rsid w:val="16AE2FE3"/>
    <w:rsid w:val="16B23908"/>
    <w:rsid w:val="16B4400E"/>
    <w:rsid w:val="16BB3754"/>
    <w:rsid w:val="16C71372"/>
    <w:rsid w:val="16C739DF"/>
    <w:rsid w:val="16C86CDB"/>
    <w:rsid w:val="16DD3B26"/>
    <w:rsid w:val="16EB6E00"/>
    <w:rsid w:val="16EE7649"/>
    <w:rsid w:val="16F04615"/>
    <w:rsid w:val="16FD2447"/>
    <w:rsid w:val="1712339A"/>
    <w:rsid w:val="171E63FC"/>
    <w:rsid w:val="1722504D"/>
    <w:rsid w:val="17355980"/>
    <w:rsid w:val="1738730F"/>
    <w:rsid w:val="17416499"/>
    <w:rsid w:val="17481B81"/>
    <w:rsid w:val="17481E8B"/>
    <w:rsid w:val="174A69B0"/>
    <w:rsid w:val="175007ED"/>
    <w:rsid w:val="176B45C6"/>
    <w:rsid w:val="176B5780"/>
    <w:rsid w:val="176C447F"/>
    <w:rsid w:val="17850F99"/>
    <w:rsid w:val="17875303"/>
    <w:rsid w:val="178815C4"/>
    <w:rsid w:val="1793626E"/>
    <w:rsid w:val="17991452"/>
    <w:rsid w:val="17A875F5"/>
    <w:rsid w:val="17B5256D"/>
    <w:rsid w:val="17B728E1"/>
    <w:rsid w:val="17B92501"/>
    <w:rsid w:val="17CC1970"/>
    <w:rsid w:val="17E65848"/>
    <w:rsid w:val="17E66DD8"/>
    <w:rsid w:val="17E84839"/>
    <w:rsid w:val="17EE1403"/>
    <w:rsid w:val="17F25234"/>
    <w:rsid w:val="17FD061B"/>
    <w:rsid w:val="17FF6314"/>
    <w:rsid w:val="18005F41"/>
    <w:rsid w:val="18025414"/>
    <w:rsid w:val="18171305"/>
    <w:rsid w:val="182A241D"/>
    <w:rsid w:val="18334194"/>
    <w:rsid w:val="183E1D37"/>
    <w:rsid w:val="184D0787"/>
    <w:rsid w:val="185D1883"/>
    <w:rsid w:val="185E3AA1"/>
    <w:rsid w:val="18812331"/>
    <w:rsid w:val="18816F1C"/>
    <w:rsid w:val="18853F3E"/>
    <w:rsid w:val="18956393"/>
    <w:rsid w:val="189859AD"/>
    <w:rsid w:val="18A8582C"/>
    <w:rsid w:val="18B50543"/>
    <w:rsid w:val="18B60776"/>
    <w:rsid w:val="18C9089D"/>
    <w:rsid w:val="18CA40C3"/>
    <w:rsid w:val="18CD7A02"/>
    <w:rsid w:val="18ED46F4"/>
    <w:rsid w:val="19001FFC"/>
    <w:rsid w:val="190E2B4A"/>
    <w:rsid w:val="191F7D1E"/>
    <w:rsid w:val="19256D7A"/>
    <w:rsid w:val="192A7C07"/>
    <w:rsid w:val="193275C2"/>
    <w:rsid w:val="194D2005"/>
    <w:rsid w:val="19655A52"/>
    <w:rsid w:val="19663168"/>
    <w:rsid w:val="197724BD"/>
    <w:rsid w:val="19786B0A"/>
    <w:rsid w:val="198A41A1"/>
    <w:rsid w:val="19987C27"/>
    <w:rsid w:val="199A2059"/>
    <w:rsid w:val="19B02FFE"/>
    <w:rsid w:val="19B30945"/>
    <w:rsid w:val="19B46E10"/>
    <w:rsid w:val="19C456C1"/>
    <w:rsid w:val="19F061A1"/>
    <w:rsid w:val="1A054259"/>
    <w:rsid w:val="1A081816"/>
    <w:rsid w:val="1A0C5680"/>
    <w:rsid w:val="1A165171"/>
    <w:rsid w:val="1A2A4993"/>
    <w:rsid w:val="1A4858FF"/>
    <w:rsid w:val="1A4C698A"/>
    <w:rsid w:val="1A5D5219"/>
    <w:rsid w:val="1A5E4B5A"/>
    <w:rsid w:val="1A672B1C"/>
    <w:rsid w:val="1A76068B"/>
    <w:rsid w:val="1A8301C0"/>
    <w:rsid w:val="1A872248"/>
    <w:rsid w:val="1A9B2279"/>
    <w:rsid w:val="1A9E6232"/>
    <w:rsid w:val="1AA2105D"/>
    <w:rsid w:val="1AA57BA7"/>
    <w:rsid w:val="1AA74D3D"/>
    <w:rsid w:val="1AB34DB4"/>
    <w:rsid w:val="1AB613FD"/>
    <w:rsid w:val="1ACF5EB8"/>
    <w:rsid w:val="1AD26086"/>
    <w:rsid w:val="1ADD5ACE"/>
    <w:rsid w:val="1AE013F8"/>
    <w:rsid w:val="1AE2274E"/>
    <w:rsid w:val="1AE8570C"/>
    <w:rsid w:val="1AF54203"/>
    <w:rsid w:val="1AFB06A3"/>
    <w:rsid w:val="1B0F19AE"/>
    <w:rsid w:val="1B1E2633"/>
    <w:rsid w:val="1B2160BB"/>
    <w:rsid w:val="1B35751E"/>
    <w:rsid w:val="1B3637AD"/>
    <w:rsid w:val="1B3E0DB5"/>
    <w:rsid w:val="1B454C94"/>
    <w:rsid w:val="1B6C0DF0"/>
    <w:rsid w:val="1B7416EE"/>
    <w:rsid w:val="1B7F6005"/>
    <w:rsid w:val="1B9C269A"/>
    <w:rsid w:val="1B9E64C5"/>
    <w:rsid w:val="1B9E6D4C"/>
    <w:rsid w:val="1BBD43BA"/>
    <w:rsid w:val="1BC01115"/>
    <w:rsid w:val="1BC44015"/>
    <w:rsid w:val="1BCA6284"/>
    <w:rsid w:val="1BFE5FF9"/>
    <w:rsid w:val="1C013494"/>
    <w:rsid w:val="1C053414"/>
    <w:rsid w:val="1C132CB9"/>
    <w:rsid w:val="1C1642A1"/>
    <w:rsid w:val="1C273D33"/>
    <w:rsid w:val="1C380A8E"/>
    <w:rsid w:val="1C4032AB"/>
    <w:rsid w:val="1C4672ED"/>
    <w:rsid w:val="1C467AB6"/>
    <w:rsid w:val="1C6277A9"/>
    <w:rsid w:val="1C774B6A"/>
    <w:rsid w:val="1C7F54CE"/>
    <w:rsid w:val="1C7F743F"/>
    <w:rsid w:val="1C8C4AA9"/>
    <w:rsid w:val="1C8C604B"/>
    <w:rsid w:val="1C92160B"/>
    <w:rsid w:val="1C973EEF"/>
    <w:rsid w:val="1CA03243"/>
    <w:rsid w:val="1CAF5DB2"/>
    <w:rsid w:val="1CB0014A"/>
    <w:rsid w:val="1CB40DF1"/>
    <w:rsid w:val="1CC41B63"/>
    <w:rsid w:val="1CC6195D"/>
    <w:rsid w:val="1CCC26CA"/>
    <w:rsid w:val="1CD2156B"/>
    <w:rsid w:val="1CD41743"/>
    <w:rsid w:val="1CD44D3D"/>
    <w:rsid w:val="1CE45EF5"/>
    <w:rsid w:val="1CE615C9"/>
    <w:rsid w:val="1CFA692A"/>
    <w:rsid w:val="1D037029"/>
    <w:rsid w:val="1D3305FF"/>
    <w:rsid w:val="1D395282"/>
    <w:rsid w:val="1D4251BA"/>
    <w:rsid w:val="1D56717F"/>
    <w:rsid w:val="1D5F5386"/>
    <w:rsid w:val="1D7072CE"/>
    <w:rsid w:val="1D794A16"/>
    <w:rsid w:val="1D9E30A9"/>
    <w:rsid w:val="1DAB1006"/>
    <w:rsid w:val="1DB33C11"/>
    <w:rsid w:val="1DC65562"/>
    <w:rsid w:val="1DE94164"/>
    <w:rsid w:val="1DEE1B11"/>
    <w:rsid w:val="1E1149E3"/>
    <w:rsid w:val="1E164B52"/>
    <w:rsid w:val="1E273844"/>
    <w:rsid w:val="1E2F243E"/>
    <w:rsid w:val="1E3B4F6B"/>
    <w:rsid w:val="1E455D19"/>
    <w:rsid w:val="1E595CAF"/>
    <w:rsid w:val="1E5C31E8"/>
    <w:rsid w:val="1E6607F9"/>
    <w:rsid w:val="1E691070"/>
    <w:rsid w:val="1E7E6BFD"/>
    <w:rsid w:val="1E805396"/>
    <w:rsid w:val="1E884F62"/>
    <w:rsid w:val="1E9D6342"/>
    <w:rsid w:val="1E9D6D15"/>
    <w:rsid w:val="1EA77730"/>
    <w:rsid w:val="1EBD1EAD"/>
    <w:rsid w:val="1EC36E9D"/>
    <w:rsid w:val="1EC43064"/>
    <w:rsid w:val="1EE25FDD"/>
    <w:rsid w:val="1EF5103F"/>
    <w:rsid w:val="1EFF621F"/>
    <w:rsid w:val="1F090F9B"/>
    <w:rsid w:val="1F0E5D6B"/>
    <w:rsid w:val="1F121431"/>
    <w:rsid w:val="1F2F0484"/>
    <w:rsid w:val="1F3218E8"/>
    <w:rsid w:val="1F3E662A"/>
    <w:rsid w:val="1F4B46FD"/>
    <w:rsid w:val="1F4F2219"/>
    <w:rsid w:val="1F5353B6"/>
    <w:rsid w:val="1F614D01"/>
    <w:rsid w:val="1F721405"/>
    <w:rsid w:val="1F804693"/>
    <w:rsid w:val="1F825709"/>
    <w:rsid w:val="1F935819"/>
    <w:rsid w:val="1FA6556D"/>
    <w:rsid w:val="1FAF2571"/>
    <w:rsid w:val="1FC55EDA"/>
    <w:rsid w:val="1FCD1032"/>
    <w:rsid w:val="1FCE593C"/>
    <w:rsid w:val="1FE312AC"/>
    <w:rsid w:val="1FEC5915"/>
    <w:rsid w:val="1FED32EF"/>
    <w:rsid w:val="201E6D7C"/>
    <w:rsid w:val="202C5ACA"/>
    <w:rsid w:val="20446081"/>
    <w:rsid w:val="204852AD"/>
    <w:rsid w:val="204B330F"/>
    <w:rsid w:val="204E6676"/>
    <w:rsid w:val="205A5AA0"/>
    <w:rsid w:val="20773A28"/>
    <w:rsid w:val="208115A6"/>
    <w:rsid w:val="208574F4"/>
    <w:rsid w:val="208C4449"/>
    <w:rsid w:val="208F6BAF"/>
    <w:rsid w:val="20A462BA"/>
    <w:rsid w:val="20BF2AAC"/>
    <w:rsid w:val="20C849C7"/>
    <w:rsid w:val="20DF66D2"/>
    <w:rsid w:val="20EC3F2E"/>
    <w:rsid w:val="20EC7C3E"/>
    <w:rsid w:val="210548E9"/>
    <w:rsid w:val="21124D15"/>
    <w:rsid w:val="211C6B81"/>
    <w:rsid w:val="213E7119"/>
    <w:rsid w:val="21530058"/>
    <w:rsid w:val="21732704"/>
    <w:rsid w:val="217D15BC"/>
    <w:rsid w:val="21810744"/>
    <w:rsid w:val="218D6EF5"/>
    <w:rsid w:val="2195668B"/>
    <w:rsid w:val="219F69EC"/>
    <w:rsid w:val="21A130EA"/>
    <w:rsid w:val="21AB278B"/>
    <w:rsid w:val="21C267BF"/>
    <w:rsid w:val="21CD6BCD"/>
    <w:rsid w:val="21CE6067"/>
    <w:rsid w:val="21CF439A"/>
    <w:rsid w:val="21F00127"/>
    <w:rsid w:val="221D2FA3"/>
    <w:rsid w:val="2226635F"/>
    <w:rsid w:val="222D4F0B"/>
    <w:rsid w:val="223D7545"/>
    <w:rsid w:val="22411D14"/>
    <w:rsid w:val="22423BE1"/>
    <w:rsid w:val="22454449"/>
    <w:rsid w:val="22500810"/>
    <w:rsid w:val="226347BD"/>
    <w:rsid w:val="22682935"/>
    <w:rsid w:val="228A4698"/>
    <w:rsid w:val="22925971"/>
    <w:rsid w:val="22945167"/>
    <w:rsid w:val="22A55CD5"/>
    <w:rsid w:val="22C74EE2"/>
    <w:rsid w:val="22CB6237"/>
    <w:rsid w:val="22CD14B5"/>
    <w:rsid w:val="22E02C6E"/>
    <w:rsid w:val="22E04FF4"/>
    <w:rsid w:val="22E1121B"/>
    <w:rsid w:val="22EA4C70"/>
    <w:rsid w:val="22F75251"/>
    <w:rsid w:val="22F86F75"/>
    <w:rsid w:val="22FB4D32"/>
    <w:rsid w:val="23131055"/>
    <w:rsid w:val="233C6F76"/>
    <w:rsid w:val="234449F5"/>
    <w:rsid w:val="23536618"/>
    <w:rsid w:val="23816932"/>
    <w:rsid w:val="23972CF0"/>
    <w:rsid w:val="239C062C"/>
    <w:rsid w:val="23A9484E"/>
    <w:rsid w:val="23B32F98"/>
    <w:rsid w:val="23B84268"/>
    <w:rsid w:val="23D17D7B"/>
    <w:rsid w:val="23D36D91"/>
    <w:rsid w:val="23F70BA5"/>
    <w:rsid w:val="23F93D0D"/>
    <w:rsid w:val="2405417E"/>
    <w:rsid w:val="241B5C62"/>
    <w:rsid w:val="24352A14"/>
    <w:rsid w:val="243B2F20"/>
    <w:rsid w:val="2458381E"/>
    <w:rsid w:val="245872F9"/>
    <w:rsid w:val="245943D9"/>
    <w:rsid w:val="245E6B64"/>
    <w:rsid w:val="2463385E"/>
    <w:rsid w:val="248F4B88"/>
    <w:rsid w:val="24967323"/>
    <w:rsid w:val="249D5FC8"/>
    <w:rsid w:val="24A12BAD"/>
    <w:rsid w:val="24A1538E"/>
    <w:rsid w:val="24B44C90"/>
    <w:rsid w:val="24B9450F"/>
    <w:rsid w:val="24C83F94"/>
    <w:rsid w:val="24F41769"/>
    <w:rsid w:val="24F60CDA"/>
    <w:rsid w:val="24FE42EB"/>
    <w:rsid w:val="250D450C"/>
    <w:rsid w:val="25134332"/>
    <w:rsid w:val="25141A5B"/>
    <w:rsid w:val="2521546A"/>
    <w:rsid w:val="252242ED"/>
    <w:rsid w:val="252A2BA6"/>
    <w:rsid w:val="252B49E0"/>
    <w:rsid w:val="254A35DD"/>
    <w:rsid w:val="25657E8F"/>
    <w:rsid w:val="25734B61"/>
    <w:rsid w:val="258129C3"/>
    <w:rsid w:val="258F6BC4"/>
    <w:rsid w:val="25975923"/>
    <w:rsid w:val="259A3D0A"/>
    <w:rsid w:val="259F2704"/>
    <w:rsid w:val="25A95F3E"/>
    <w:rsid w:val="25BF6041"/>
    <w:rsid w:val="25C35718"/>
    <w:rsid w:val="25CF0252"/>
    <w:rsid w:val="25D0248E"/>
    <w:rsid w:val="25D61C5C"/>
    <w:rsid w:val="25F81D70"/>
    <w:rsid w:val="25FB5636"/>
    <w:rsid w:val="25FE58A9"/>
    <w:rsid w:val="26070462"/>
    <w:rsid w:val="260D2C45"/>
    <w:rsid w:val="26395C92"/>
    <w:rsid w:val="26465DA0"/>
    <w:rsid w:val="265A5249"/>
    <w:rsid w:val="266237C3"/>
    <w:rsid w:val="267550B9"/>
    <w:rsid w:val="26942D1C"/>
    <w:rsid w:val="26C472EC"/>
    <w:rsid w:val="26EC491A"/>
    <w:rsid w:val="26ED73E1"/>
    <w:rsid w:val="26F503CD"/>
    <w:rsid w:val="27036506"/>
    <w:rsid w:val="27047832"/>
    <w:rsid w:val="2706037D"/>
    <w:rsid w:val="270D152E"/>
    <w:rsid w:val="27204B5D"/>
    <w:rsid w:val="27217DBD"/>
    <w:rsid w:val="272F31A0"/>
    <w:rsid w:val="27310CAC"/>
    <w:rsid w:val="27342901"/>
    <w:rsid w:val="273D2762"/>
    <w:rsid w:val="27470B72"/>
    <w:rsid w:val="2750457D"/>
    <w:rsid w:val="27525E32"/>
    <w:rsid w:val="27604751"/>
    <w:rsid w:val="2778582E"/>
    <w:rsid w:val="27806765"/>
    <w:rsid w:val="27832596"/>
    <w:rsid w:val="278C1620"/>
    <w:rsid w:val="278D141A"/>
    <w:rsid w:val="279B1E53"/>
    <w:rsid w:val="27AA3521"/>
    <w:rsid w:val="27AB7429"/>
    <w:rsid w:val="27C57B2B"/>
    <w:rsid w:val="27C8029E"/>
    <w:rsid w:val="27CC78AC"/>
    <w:rsid w:val="27D72FE7"/>
    <w:rsid w:val="27D86029"/>
    <w:rsid w:val="27DD45ED"/>
    <w:rsid w:val="27E103DD"/>
    <w:rsid w:val="27E3651B"/>
    <w:rsid w:val="27E864CC"/>
    <w:rsid w:val="27EC25E3"/>
    <w:rsid w:val="27EC4A72"/>
    <w:rsid w:val="27ED0939"/>
    <w:rsid w:val="27F1498B"/>
    <w:rsid w:val="28027A71"/>
    <w:rsid w:val="280420BC"/>
    <w:rsid w:val="281F4F67"/>
    <w:rsid w:val="283744B4"/>
    <w:rsid w:val="283E7EC8"/>
    <w:rsid w:val="28485D62"/>
    <w:rsid w:val="284F1F42"/>
    <w:rsid w:val="285560D7"/>
    <w:rsid w:val="286E74F1"/>
    <w:rsid w:val="28760CA0"/>
    <w:rsid w:val="287773FE"/>
    <w:rsid w:val="28787710"/>
    <w:rsid w:val="287B218C"/>
    <w:rsid w:val="288A05DD"/>
    <w:rsid w:val="28937D89"/>
    <w:rsid w:val="289B0550"/>
    <w:rsid w:val="28C96C14"/>
    <w:rsid w:val="28E138E3"/>
    <w:rsid w:val="28E74216"/>
    <w:rsid w:val="28E87EE4"/>
    <w:rsid w:val="28FE42C1"/>
    <w:rsid w:val="28FF2940"/>
    <w:rsid w:val="2903396A"/>
    <w:rsid w:val="294E766A"/>
    <w:rsid w:val="296B0F20"/>
    <w:rsid w:val="297161D3"/>
    <w:rsid w:val="2978319A"/>
    <w:rsid w:val="29886D49"/>
    <w:rsid w:val="29897A2F"/>
    <w:rsid w:val="29A02DFF"/>
    <w:rsid w:val="29A3014B"/>
    <w:rsid w:val="29A74CBD"/>
    <w:rsid w:val="29A80BF5"/>
    <w:rsid w:val="29B01C34"/>
    <w:rsid w:val="29B16357"/>
    <w:rsid w:val="29BA0D88"/>
    <w:rsid w:val="29BB3E72"/>
    <w:rsid w:val="29CF32B2"/>
    <w:rsid w:val="29DE15A2"/>
    <w:rsid w:val="29E415AE"/>
    <w:rsid w:val="29EC475A"/>
    <w:rsid w:val="29ED4AA7"/>
    <w:rsid w:val="29EF3680"/>
    <w:rsid w:val="29EF424E"/>
    <w:rsid w:val="29FA7F26"/>
    <w:rsid w:val="2A166823"/>
    <w:rsid w:val="2A35650F"/>
    <w:rsid w:val="2A405845"/>
    <w:rsid w:val="2A4D593F"/>
    <w:rsid w:val="2A4F5968"/>
    <w:rsid w:val="2A5024EA"/>
    <w:rsid w:val="2A614370"/>
    <w:rsid w:val="2A6E31F8"/>
    <w:rsid w:val="2A7E5538"/>
    <w:rsid w:val="2A87174E"/>
    <w:rsid w:val="2A8A2F9C"/>
    <w:rsid w:val="2AAC5A06"/>
    <w:rsid w:val="2ABB3D6F"/>
    <w:rsid w:val="2AC70B30"/>
    <w:rsid w:val="2ACC2AAF"/>
    <w:rsid w:val="2AD74744"/>
    <w:rsid w:val="2AD91AC2"/>
    <w:rsid w:val="2AE57C95"/>
    <w:rsid w:val="2AF35C8B"/>
    <w:rsid w:val="2B0C0EEE"/>
    <w:rsid w:val="2B132265"/>
    <w:rsid w:val="2B214776"/>
    <w:rsid w:val="2B2843BE"/>
    <w:rsid w:val="2B2B6079"/>
    <w:rsid w:val="2B313FC1"/>
    <w:rsid w:val="2B347C14"/>
    <w:rsid w:val="2B39348E"/>
    <w:rsid w:val="2B3B2EA6"/>
    <w:rsid w:val="2B437285"/>
    <w:rsid w:val="2B474E9C"/>
    <w:rsid w:val="2B494377"/>
    <w:rsid w:val="2B4D695C"/>
    <w:rsid w:val="2B514803"/>
    <w:rsid w:val="2B637D4B"/>
    <w:rsid w:val="2B6B1684"/>
    <w:rsid w:val="2B7B70BF"/>
    <w:rsid w:val="2B7E4C41"/>
    <w:rsid w:val="2B853AF3"/>
    <w:rsid w:val="2B8B422C"/>
    <w:rsid w:val="2BA07D38"/>
    <w:rsid w:val="2BC40957"/>
    <w:rsid w:val="2BCB5DAA"/>
    <w:rsid w:val="2BD65380"/>
    <w:rsid w:val="2BE725D0"/>
    <w:rsid w:val="2BF369B9"/>
    <w:rsid w:val="2BFC0A4A"/>
    <w:rsid w:val="2C094904"/>
    <w:rsid w:val="2C0E55A1"/>
    <w:rsid w:val="2C3A7BF6"/>
    <w:rsid w:val="2C425BCE"/>
    <w:rsid w:val="2C44676A"/>
    <w:rsid w:val="2C495C38"/>
    <w:rsid w:val="2C4A080C"/>
    <w:rsid w:val="2C54533B"/>
    <w:rsid w:val="2C591378"/>
    <w:rsid w:val="2C642BA5"/>
    <w:rsid w:val="2C797A76"/>
    <w:rsid w:val="2C8F4862"/>
    <w:rsid w:val="2C9E5AC8"/>
    <w:rsid w:val="2CA2721B"/>
    <w:rsid w:val="2CAC6D87"/>
    <w:rsid w:val="2CB600FC"/>
    <w:rsid w:val="2CBB2852"/>
    <w:rsid w:val="2CE755FE"/>
    <w:rsid w:val="2CE8526F"/>
    <w:rsid w:val="2D026315"/>
    <w:rsid w:val="2D0764BD"/>
    <w:rsid w:val="2D0B3169"/>
    <w:rsid w:val="2D0D4219"/>
    <w:rsid w:val="2D274320"/>
    <w:rsid w:val="2D2D2DE2"/>
    <w:rsid w:val="2D324CCC"/>
    <w:rsid w:val="2D340E86"/>
    <w:rsid w:val="2D395427"/>
    <w:rsid w:val="2D3D0E02"/>
    <w:rsid w:val="2D5436FA"/>
    <w:rsid w:val="2D62469E"/>
    <w:rsid w:val="2D674898"/>
    <w:rsid w:val="2D6B40A9"/>
    <w:rsid w:val="2D8703A1"/>
    <w:rsid w:val="2D8A3FA2"/>
    <w:rsid w:val="2D9767DC"/>
    <w:rsid w:val="2D980DDC"/>
    <w:rsid w:val="2D987372"/>
    <w:rsid w:val="2D9D0109"/>
    <w:rsid w:val="2DC66A91"/>
    <w:rsid w:val="2DC92AA1"/>
    <w:rsid w:val="2DCE5F69"/>
    <w:rsid w:val="2DDD4F0A"/>
    <w:rsid w:val="2DF42931"/>
    <w:rsid w:val="2E34792A"/>
    <w:rsid w:val="2E437E73"/>
    <w:rsid w:val="2E5034DC"/>
    <w:rsid w:val="2E572AB9"/>
    <w:rsid w:val="2E7258DC"/>
    <w:rsid w:val="2E79458E"/>
    <w:rsid w:val="2E797A78"/>
    <w:rsid w:val="2E7C6A94"/>
    <w:rsid w:val="2E8321A5"/>
    <w:rsid w:val="2E8D14A8"/>
    <w:rsid w:val="2E9F6D95"/>
    <w:rsid w:val="2EAE350B"/>
    <w:rsid w:val="2EB20A6C"/>
    <w:rsid w:val="2EBC2287"/>
    <w:rsid w:val="2ECA3116"/>
    <w:rsid w:val="2EDD7896"/>
    <w:rsid w:val="2EEA6E65"/>
    <w:rsid w:val="2EF33C7C"/>
    <w:rsid w:val="2F00052B"/>
    <w:rsid w:val="2F0367CD"/>
    <w:rsid w:val="2F1251F2"/>
    <w:rsid w:val="2F2D445E"/>
    <w:rsid w:val="2F3D2327"/>
    <w:rsid w:val="2F4F6FBB"/>
    <w:rsid w:val="2F664E2B"/>
    <w:rsid w:val="2F6C7BE3"/>
    <w:rsid w:val="2F783485"/>
    <w:rsid w:val="2F7F5C0B"/>
    <w:rsid w:val="2FA0088D"/>
    <w:rsid w:val="2FA6492D"/>
    <w:rsid w:val="2FC03679"/>
    <w:rsid w:val="2FC86676"/>
    <w:rsid w:val="2FD17A1B"/>
    <w:rsid w:val="2FD71CA4"/>
    <w:rsid w:val="2FDC4A8D"/>
    <w:rsid w:val="2FF93066"/>
    <w:rsid w:val="301A71CE"/>
    <w:rsid w:val="301E049B"/>
    <w:rsid w:val="302A4BE6"/>
    <w:rsid w:val="30396A0E"/>
    <w:rsid w:val="304478EC"/>
    <w:rsid w:val="30515C8E"/>
    <w:rsid w:val="3069301C"/>
    <w:rsid w:val="307B0C38"/>
    <w:rsid w:val="30926F91"/>
    <w:rsid w:val="30962F3E"/>
    <w:rsid w:val="30AA2585"/>
    <w:rsid w:val="30C16A19"/>
    <w:rsid w:val="30CB5800"/>
    <w:rsid w:val="30D32236"/>
    <w:rsid w:val="30FA7530"/>
    <w:rsid w:val="30FF2795"/>
    <w:rsid w:val="310375CD"/>
    <w:rsid w:val="310E6387"/>
    <w:rsid w:val="311611B3"/>
    <w:rsid w:val="313C313D"/>
    <w:rsid w:val="313F6DC6"/>
    <w:rsid w:val="314E236F"/>
    <w:rsid w:val="315A7A1E"/>
    <w:rsid w:val="315E0B07"/>
    <w:rsid w:val="31621F46"/>
    <w:rsid w:val="316E7CA0"/>
    <w:rsid w:val="317206BF"/>
    <w:rsid w:val="317932EA"/>
    <w:rsid w:val="317E5000"/>
    <w:rsid w:val="31875BB4"/>
    <w:rsid w:val="31B718F2"/>
    <w:rsid w:val="31D20051"/>
    <w:rsid w:val="31EF7EE8"/>
    <w:rsid w:val="3201404F"/>
    <w:rsid w:val="320901F5"/>
    <w:rsid w:val="320B7CCB"/>
    <w:rsid w:val="32105DE8"/>
    <w:rsid w:val="3235187E"/>
    <w:rsid w:val="3237186B"/>
    <w:rsid w:val="323B6798"/>
    <w:rsid w:val="324A3219"/>
    <w:rsid w:val="32537B57"/>
    <w:rsid w:val="325779E7"/>
    <w:rsid w:val="325F618E"/>
    <w:rsid w:val="32757E99"/>
    <w:rsid w:val="327D43E5"/>
    <w:rsid w:val="328F5534"/>
    <w:rsid w:val="329A6ACE"/>
    <w:rsid w:val="32A145CA"/>
    <w:rsid w:val="32A230DB"/>
    <w:rsid w:val="32BE0772"/>
    <w:rsid w:val="32DF351E"/>
    <w:rsid w:val="32EE5E41"/>
    <w:rsid w:val="32F40F87"/>
    <w:rsid w:val="32FD7C76"/>
    <w:rsid w:val="330643F9"/>
    <w:rsid w:val="330C22FC"/>
    <w:rsid w:val="330D4310"/>
    <w:rsid w:val="33540E5D"/>
    <w:rsid w:val="335A0521"/>
    <w:rsid w:val="335E7B11"/>
    <w:rsid w:val="3364318B"/>
    <w:rsid w:val="33691888"/>
    <w:rsid w:val="336A499A"/>
    <w:rsid w:val="33714830"/>
    <w:rsid w:val="33737F51"/>
    <w:rsid w:val="337964FF"/>
    <w:rsid w:val="337D34FB"/>
    <w:rsid w:val="337E2DAF"/>
    <w:rsid w:val="33A47053"/>
    <w:rsid w:val="33BF4199"/>
    <w:rsid w:val="33CD6498"/>
    <w:rsid w:val="33D04592"/>
    <w:rsid w:val="33D7554F"/>
    <w:rsid w:val="33FE62E7"/>
    <w:rsid w:val="340221A6"/>
    <w:rsid w:val="34080399"/>
    <w:rsid w:val="340D25F6"/>
    <w:rsid w:val="3429226D"/>
    <w:rsid w:val="342B76C7"/>
    <w:rsid w:val="343A1527"/>
    <w:rsid w:val="34447898"/>
    <w:rsid w:val="344E62FA"/>
    <w:rsid w:val="3472234D"/>
    <w:rsid w:val="347D500F"/>
    <w:rsid w:val="34830157"/>
    <w:rsid w:val="34872D27"/>
    <w:rsid w:val="348E58C4"/>
    <w:rsid w:val="349164BD"/>
    <w:rsid w:val="3499657C"/>
    <w:rsid w:val="34B961B7"/>
    <w:rsid w:val="34BD02AE"/>
    <w:rsid w:val="34DA26A8"/>
    <w:rsid w:val="34E960F1"/>
    <w:rsid w:val="350B42D5"/>
    <w:rsid w:val="350F6258"/>
    <w:rsid w:val="351A603C"/>
    <w:rsid w:val="352821F6"/>
    <w:rsid w:val="3533698A"/>
    <w:rsid w:val="35384CA5"/>
    <w:rsid w:val="35387F19"/>
    <w:rsid w:val="3539550B"/>
    <w:rsid w:val="356678B4"/>
    <w:rsid w:val="3573649F"/>
    <w:rsid w:val="357E4B0A"/>
    <w:rsid w:val="35853A75"/>
    <w:rsid w:val="35866D7F"/>
    <w:rsid w:val="358F6BDF"/>
    <w:rsid w:val="359818E2"/>
    <w:rsid w:val="35C06D50"/>
    <w:rsid w:val="35CD6F14"/>
    <w:rsid w:val="35D24294"/>
    <w:rsid w:val="35D71152"/>
    <w:rsid w:val="35FF6F3C"/>
    <w:rsid w:val="36075F27"/>
    <w:rsid w:val="360D1C5B"/>
    <w:rsid w:val="36121506"/>
    <w:rsid w:val="36182B79"/>
    <w:rsid w:val="361D7A43"/>
    <w:rsid w:val="361F3323"/>
    <w:rsid w:val="36402EFA"/>
    <w:rsid w:val="36496A51"/>
    <w:rsid w:val="365623F6"/>
    <w:rsid w:val="368230C6"/>
    <w:rsid w:val="36843A03"/>
    <w:rsid w:val="368F7E4F"/>
    <w:rsid w:val="36985297"/>
    <w:rsid w:val="369F633B"/>
    <w:rsid w:val="36A30FDB"/>
    <w:rsid w:val="36A7007C"/>
    <w:rsid w:val="36B24AE8"/>
    <w:rsid w:val="36BD0DC4"/>
    <w:rsid w:val="36D51D00"/>
    <w:rsid w:val="36D66B5E"/>
    <w:rsid w:val="36E040A5"/>
    <w:rsid w:val="36E93760"/>
    <w:rsid w:val="36FB4305"/>
    <w:rsid w:val="3708597F"/>
    <w:rsid w:val="3709624C"/>
    <w:rsid w:val="37096815"/>
    <w:rsid w:val="370F7060"/>
    <w:rsid w:val="37134801"/>
    <w:rsid w:val="37173233"/>
    <w:rsid w:val="371C344E"/>
    <w:rsid w:val="371C7953"/>
    <w:rsid w:val="37226558"/>
    <w:rsid w:val="3734159D"/>
    <w:rsid w:val="37382526"/>
    <w:rsid w:val="373B4C89"/>
    <w:rsid w:val="37503E6C"/>
    <w:rsid w:val="3758590A"/>
    <w:rsid w:val="375E77B2"/>
    <w:rsid w:val="37602E60"/>
    <w:rsid w:val="37736F26"/>
    <w:rsid w:val="378229A7"/>
    <w:rsid w:val="3784394E"/>
    <w:rsid w:val="37987437"/>
    <w:rsid w:val="379F33FC"/>
    <w:rsid w:val="37A432E4"/>
    <w:rsid w:val="37A86196"/>
    <w:rsid w:val="37AD1354"/>
    <w:rsid w:val="37BB3C3C"/>
    <w:rsid w:val="37C94031"/>
    <w:rsid w:val="37CA042E"/>
    <w:rsid w:val="37D44549"/>
    <w:rsid w:val="37D77B09"/>
    <w:rsid w:val="37D97EDE"/>
    <w:rsid w:val="37E76E34"/>
    <w:rsid w:val="380D02B1"/>
    <w:rsid w:val="382B1BDF"/>
    <w:rsid w:val="382E392C"/>
    <w:rsid w:val="38342E90"/>
    <w:rsid w:val="384B7332"/>
    <w:rsid w:val="385056AF"/>
    <w:rsid w:val="386652BF"/>
    <w:rsid w:val="38693DA0"/>
    <w:rsid w:val="386A7142"/>
    <w:rsid w:val="38706DCB"/>
    <w:rsid w:val="38890D89"/>
    <w:rsid w:val="388E5848"/>
    <w:rsid w:val="38A341A7"/>
    <w:rsid w:val="38BA6810"/>
    <w:rsid w:val="38BD31EE"/>
    <w:rsid w:val="38CB3BDF"/>
    <w:rsid w:val="38D33D29"/>
    <w:rsid w:val="38D41CCF"/>
    <w:rsid w:val="38D62E18"/>
    <w:rsid w:val="38E40A5B"/>
    <w:rsid w:val="38E842BA"/>
    <w:rsid w:val="38F07867"/>
    <w:rsid w:val="38F16A28"/>
    <w:rsid w:val="391A3359"/>
    <w:rsid w:val="39285D57"/>
    <w:rsid w:val="394B6470"/>
    <w:rsid w:val="395C6EA8"/>
    <w:rsid w:val="39872512"/>
    <w:rsid w:val="39A602F9"/>
    <w:rsid w:val="39BD45C8"/>
    <w:rsid w:val="39C2316A"/>
    <w:rsid w:val="39C44028"/>
    <w:rsid w:val="39E643EA"/>
    <w:rsid w:val="39F36281"/>
    <w:rsid w:val="39FA0290"/>
    <w:rsid w:val="39FD376D"/>
    <w:rsid w:val="39FD6C9C"/>
    <w:rsid w:val="3A0224B9"/>
    <w:rsid w:val="3A16728B"/>
    <w:rsid w:val="3A16794C"/>
    <w:rsid w:val="3A1F6809"/>
    <w:rsid w:val="3A226969"/>
    <w:rsid w:val="3A3F47CE"/>
    <w:rsid w:val="3A4E1C5D"/>
    <w:rsid w:val="3A523735"/>
    <w:rsid w:val="3A557AE4"/>
    <w:rsid w:val="3A6B0F84"/>
    <w:rsid w:val="3A727435"/>
    <w:rsid w:val="3A813EA6"/>
    <w:rsid w:val="3A94055A"/>
    <w:rsid w:val="3AA90B75"/>
    <w:rsid w:val="3AB00167"/>
    <w:rsid w:val="3ABF30D9"/>
    <w:rsid w:val="3AC17E3A"/>
    <w:rsid w:val="3ACB5746"/>
    <w:rsid w:val="3ACE209E"/>
    <w:rsid w:val="3ADD1594"/>
    <w:rsid w:val="3ADD2B05"/>
    <w:rsid w:val="3AE417E3"/>
    <w:rsid w:val="3AE440AF"/>
    <w:rsid w:val="3AF7667E"/>
    <w:rsid w:val="3B113F51"/>
    <w:rsid w:val="3B192990"/>
    <w:rsid w:val="3B2D3716"/>
    <w:rsid w:val="3B307112"/>
    <w:rsid w:val="3B3E5BDD"/>
    <w:rsid w:val="3B4475EB"/>
    <w:rsid w:val="3B5A2A22"/>
    <w:rsid w:val="3B707794"/>
    <w:rsid w:val="3B7804A3"/>
    <w:rsid w:val="3B8E2153"/>
    <w:rsid w:val="3B8E482A"/>
    <w:rsid w:val="3B9B2072"/>
    <w:rsid w:val="3BA03B83"/>
    <w:rsid w:val="3BB20883"/>
    <w:rsid w:val="3BC34E75"/>
    <w:rsid w:val="3BCB270F"/>
    <w:rsid w:val="3BD96AA6"/>
    <w:rsid w:val="3BED002E"/>
    <w:rsid w:val="3BF73E90"/>
    <w:rsid w:val="3C0429BF"/>
    <w:rsid w:val="3C1A201A"/>
    <w:rsid w:val="3C2050B3"/>
    <w:rsid w:val="3C276807"/>
    <w:rsid w:val="3C371D4B"/>
    <w:rsid w:val="3C3B4B9D"/>
    <w:rsid w:val="3C3B7D68"/>
    <w:rsid w:val="3C413C82"/>
    <w:rsid w:val="3C471C36"/>
    <w:rsid w:val="3C4B0140"/>
    <w:rsid w:val="3C4D66ED"/>
    <w:rsid w:val="3C5A6B66"/>
    <w:rsid w:val="3C734413"/>
    <w:rsid w:val="3C923F62"/>
    <w:rsid w:val="3C982C18"/>
    <w:rsid w:val="3CA734F8"/>
    <w:rsid w:val="3CA95F71"/>
    <w:rsid w:val="3CC16893"/>
    <w:rsid w:val="3CC74223"/>
    <w:rsid w:val="3CC828D0"/>
    <w:rsid w:val="3CDB5F96"/>
    <w:rsid w:val="3CE23F49"/>
    <w:rsid w:val="3CEC39B8"/>
    <w:rsid w:val="3CF720E3"/>
    <w:rsid w:val="3CF72D6A"/>
    <w:rsid w:val="3CF86D06"/>
    <w:rsid w:val="3D00620E"/>
    <w:rsid w:val="3D035226"/>
    <w:rsid w:val="3D0738E1"/>
    <w:rsid w:val="3D316CDB"/>
    <w:rsid w:val="3D3707C6"/>
    <w:rsid w:val="3D3D6BBD"/>
    <w:rsid w:val="3D450F8C"/>
    <w:rsid w:val="3D4518DD"/>
    <w:rsid w:val="3D477118"/>
    <w:rsid w:val="3D594E54"/>
    <w:rsid w:val="3D5C2071"/>
    <w:rsid w:val="3D5F2B5C"/>
    <w:rsid w:val="3D62706F"/>
    <w:rsid w:val="3D6E2272"/>
    <w:rsid w:val="3D7C727A"/>
    <w:rsid w:val="3D81786B"/>
    <w:rsid w:val="3D830417"/>
    <w:rsid w:val="3D877AC5"/>
    <w:rsid w:val="3D882D35"/>
    <w:rsid w:val="3D8D2848"/>
    <w:rsid w:val="3D94235D"/>
    <w:rsid w:val="3D9461E1"/>
    <w:rsid w:val="3DB34E86"/>
    <w:rsid w:val="3DB90549"/>
    <w:rsid w:val="3DC46444"/>
    <w:rsid w:val="3DED0F96"/>
    <w:rsid w:val="3DF95812"/>
    <w:rsid w:val="3E1D4B24"/>
    <w:rsid w:val="3E3A04FA"/>
    <w:rsid w:val="3E3D6B96"/>
    <w:rsid w:val="3E441C7D"/>
    <w:rsid w:val="3E490256"/>
    <w:rsid w:val="3E55739E"/>
    <w:rsid w:val="3E610D47"/>
    <w:rsid w:val="3E6C43C8"/>
    <w:rsid w:val="3E8227F0"/>
    <w:rsid w:val="3E937F82"/>
    <w:rsid w:val="3E9B4B40"/>
    <w:rsid w:val="3EB71AC8"/>
    <w:rsid w:val="3EC85E34"/>
    <w:rsid w:val="3ECF2AAC"/>
    <w:rsid w:val="3ED0424C"/>
    <w:rsid w:val="3ED07B7E"/>
    <w:rsid w:val="3ED655CD"/>
    <w:rsid w:val="3EED4B87"/>
    <w:rsid w:val="3EF31E7F"/>
    <w:rsid w:val="3EF36DF0"/>
    <w:rsid w:val="3F035EE1"/>
    <w:rsid w:val="3F0406D4"/>
    <w:rsid w:val="3F053EF6"/>
    <w:rsid w:val="3F093188"/>
    <w:rsid w:val="3F173F6B"/>
    <w:rsid w:val="3F1E1DE8"/>
    <w:rsid w:val="3F253B0C"/>
    <w:rsid w:val="3F2C04C4"/>
    <w:rsid w:val="3F3E7C9F"/>
    <w:rsid w:val="3F416B99"/>
    <w:rsid w:val="3F477080"/>
    <w:rsid w:val="3F4F5AD7"/>
    <w:rsid w:val="3F643908"/>
    <w:rsid w:val="3F6B75A6"/>
    <w:rsid w:val="3F8C0A49"/>
    <w:rsid w:val="3F8E7DCD"/>
    <w:rsid w:val="3F913853"/>
    <w:rsid w:val="3F9660C3"/>
    <w:rsid w:val="3F9724DD"/>
    <w:rsid w:val="3FA514FA"/>
    <w:rsid w:val="3FA827ED"/>
    <w:rsid w:val="3FB45C58"/>
    <w:rsid w:val="3FC36557"/>
    <w:rsid w:val="3FC956FF"/>
    <w:rsid w:val="3FD13F50"/>
    <w:rsid w:val="3FDC5F31"/>
    <w:rsid w:val="3FE04625"/>
    <w:rsid w:val="3FE86CE8"/>
    <w:rsid w:val="3FFB0F66"/>
    <w:rsid w:val="3FFC05FC"/>
    <w:rsid w:val="40146E6B"/>
    <w:rsid w:val="403052F1"/>
    <w:rsid w:val="40330D29"/>
    <w:rsid w:val="404469FD"/>
    <w:rsid w:val="404A2717"/>
    <w:rsid w:val="404E779F"/>
    <w:rsid w:val="4059090D"/>
    <w:rsid w:val="4065170A"/>
    <w:rsid w:val="406E5CAB"/>
    <w:rsid w:val="40713C35"/>
    <w:rsid w:val="408376F8"/>
    <w:rsid w:val="40901AD0"/>
    <w:rsid w:val="40A25054"/>
    <w:rsid w:val="40A325E0"/>
    <w:rsid w:val="40B7228C"/>
    <w:rsid w:val="40BD0DA1"/>
    <w:rsid w:val="40EC7D18"/>
    <w:rsid w:val="40ED11A0"/>
    <w:rsid w:val="40FD1BF0"/>
    <w:rsid w:val="40FE7A3D"/>
    <w:rsid w:val="41096BC0"/>
    <w:rsid w:val="410A75B6"/>
    <w:rsid w:val="410B452A"/>
    <w:rsid w:val="41146D26"/>
    <w:rsid w:val="413353F1"/>
    <w:rsid w:val="41513BC9"/>
    <w:rsid w:val="41735B7F"/>
    <w:rsid w:val="419E60D3"/>
    <w:rsid w:val="41A339F5"/>
    <w:rsid w:val="41A36C7E"/>
    <w:rsid w:val="41AA4263"/>
    <w:rsid w:val="41C93F6C"/>
    <w:rsid w:val="41D75714"/>
    <w:rsid w:val="41DD3BC3"/>
    <w:rsid w:val="41EE2F03"/>
    <w:rsid w:val="41F466FD"/>
    <w:rsid w:val="42002BC7"/>
    <w:rsid w:val="42026B03"/>
    <w:rsid w:val="420D197F"/>
    <w:rsid w:val="42187EBE"/>
    <w:rsid w:val="42273D8C"/>
    <w:rsid w:val="4227435A"/>
    <w:rsid w:val="42300022"/>
    <w:rsid w:val="424B5824"/>
    <w:rsid w:val="42616DD3"/>
    <w:rsid w:val="426973AD"/>
    <w:rsid w:val="426F56CA"/>
    <w:rsid w:val="427A67A1"/>
    <w:rsid w:val="427E0B36"/>
    <w:rsid w:val="42A03D98"/>
    <w:rsid w:val="42A729F1"/>
    <w:rsid w:val="42B94BC1"/>
    <w:rsid w:val="42C30254"/>
    <w:rsid w:val="42C42A08"/>
    <w:rsid w:val="42C7649B"/>
    <w:rsid w:val="42D064B1"/>
    <w:rsid w:val="42D41F6D"/>
    <w:rsid w:val="42D5342A"/>
    <w:rsid w:val="42DE48A3"/>
    <w:rsid w:val="42E16058"/>
    <w:rsid w:val="42F17BF5"/>
    <w:rsid w:val="42F30D8B"/>
    <w:rsid w:val="42F87EC9"/>
    <w:rsid w:val="42FA45BF"/>
    <w:rsid w:val="43054171"/>
    <w:rsid w:val="430E7E66"/>
    <w:rsid w:val="4332317A"/>
    <w:rsid w:val="433246A0"/>
    <w:rsid w:val="433E162C"/>
    <w:rsid w:val="433F6B54"/>
    <w:rsid w:val="4346543A"/>
    <w:rsid w:val="43533E29"/>
    <w:rsid w:val="435B1259"/>
    <w:rsid w:val="436263D5"/>
    <w:rsid w:val="437556C4"/>
    <w:rsid w:val="437A5D15"/>
    <w:rsid w:val="43874CD4"/>
    <w:rsid w:val="438D061F"/>
    <w:rsid w:val="439B699F"/>
    <w:rsid w:val="43AF2D32"/>
    <w:rsid w:val="43B76E4F"/>
    <w:rsid w:val="43CF0206"/>
    <w:rsid w:val="43D85D6D"/>
    <w:rsid w:val="43DF6B45"/>
    <w:rsid w:val="43EC6F1F"/>
    <w:rsid w:val="43FE44BA"/>
    <w:rsid w:val="440D5045"/>
    <w:rsid w:val="440F6C97"/>
    <w:rsid w:val="44300615"/>
    <w:rsid w:val="44371929"/>
    <w:rsid w:val="443740AF"/>
    <w:rsid w:val="443F5998"/>
    <w:rsid w:val="44480935"/>
    <w:rsid w:val="444851FA"/>
    <w:rsid w:val="44544CC5"/>
    <w:rsid w:val="445E4DEE"/>
    <w:rsid w:val="44640994"/>
    <w:rsid w:val="446B0434"/>
    <w:rsid w:val="44756A66"/>
    <w:rsid w:val="447E4EBE"/>
    <w:rsid w:val="447F0CBA"/>
    <w:rsid w:val="44957F46"/>
    <w:rsid w:val="44994CF5"/>
    <w:rsid w:val="44AD40AD"/>
    <w:rsid w:val="44DC46EB"/>
    <w:rsid w:val="44EA6491"/>
    <w:rsid w:val="44F03F8F"/>
    <w:rsid w:val="44F14ECF"/>
    <w:rsid w:val="44F8119B"/>
    <w:rsid w:val="4504328F"/>
    <w:rsid w:val="45275172"/>
    <w:rsid w:val="45332511"/>
    <w:rsid w:val="453F44DA"/>
    <w:rsid w:val="45412C46"/>
    <w:rsid w:val="45514AD5"/>
    <w:rsid w:val="4552412E"/>
    <w:rsid w:val="455908C0"/>
    <w:rsid w:val="45743BE6"/>
    <w:rsid w:val="4575513B"/>
    <w:rsid w:val="45761EDD"/>
    <w:rsid w:val="457A7286"/>
    <w:rsid w:val="457B06AA"/>
    <w:rsid w:val="457C7D39"/>
    <w:rsid w:val="458667C4"/>
    <w:rsid w:val="458F5163"/>
    <w:rsid w:val="459405E3"/>
    <w:rsid w:val="459C5A47"/>
    <w:rsid w:val="45A82F38"/>
    <w:rsid w:val="45B047D1"/>
    <w:rsid w:val="45BE6191"/>
    <w:rsid w:val="45BE648C"/>
    <w:rsid w:val="45C661BC"/>
    <w:rsid w:val="45CA082F"/>
    <w:rsid w:val="45CD2126"/>
    <w:rsid w:val="45DD738A"/>
    <w:rsid w:val="45E372CD"/>
    <w:rsid w:val="45FB2D6A"/>
    <w:rsid w:val="460C5979"/>
    <w:rsid w:val="46110AB3"/>
    <w:rsid w:val="46143B66"/>
    <w:rsid w:val="4615371C"/>
    <w:rsid w:val="46214325"/>
    <w:rsid w:val="463246EC"/>
    <w:rsid w:val="463425D3"/>
    <w:rsid w:val="463A3547"/>
    <w:rsid w:val="464B28C8"/>
    <w:rsid w:val="464E0973"/>
    <w:rsid w:val="46531D97"/>
    <w:rsid w:val="46545CE0"/>
    <w:rsid w:val="46555DC3"/>
    <w:rsid w:val="46617DB2"/>
    <w:rsid w:val="46621065"/>
    <w:rsid w:val="466463D6"/>
    <w:rsid w:val="46665198"/>
    <w:rsid w:val="46697236"/>
    <w:rsid w:val="46770F8B"/>
    <w:rsid w:val="467C16FA"/>
    <w:rsid w:val="46894B18"/>
    <w:rsid w:val="469448C6"/>
    <w:rsid w:val="46A85D08"/>
    <w:rsid w:val="46AB0067"/>
    <w:rsid w:val="46B80AF8"/>
    <w:rsid w:val="46D37F0B"/>
    <w:rsid w:val="46D71533"/>
    <w:rsid w:val="46E53335"/>
    <w:rsid w:val="47155D89"/>
    <w:rsid w:val="473069AF"/>
    <w:rsid w:val="474A0EAF"/>
    <w:rsid w:val="474D4AFC"/>
    <w:rsid w:val="474E50BE"/>
    <w:rsid w:val="47696F9C"/>
    <w:rsid w:val="47714F1F"/>
    <w:rsid w:val="47725A17"/>
    <w:rsid w:val="477D3243"/>
    <w:rsid w:val="478821A1"/>
    <w:rsid w:val="479128A9"/>
    <w:rsid w:val="47975EDC"/>
    <w:rsid w:val="47983B19"/>
    <w:rsid w:val="47A3609D"/>
    <w:rsid w:val="47C01792"/>
    <w:rsid w:val="47C57A48"/>
    <w:rsid w:val="47D511BD"/>
    <w:rsid w:val="47DC159D"/>
    <w:rsid w:val="4808150F"/>
    <w:rsid w:val="480F51A8"/>
    <w:rsid w:val="48256B1B"/>
    <w:rsid w:val="48282713"/>
    <w:rsid w:val="4831090D"/>
    <w:rsid w:val="484417FA"/>
    <w:rsid w:val="48450ECE"/>
    <w:rsid w:val="484759CD"/>
    <w:rsid w:val="484B14EC"/>
    <w:rsid w:val="48602710"/>
    <w:rsid w:val="48713351"/>
    <w:rsid w:val="48802846"/>
    <w:rsid w:val="488260F9"/>
    <w:rsid w:val="48850157"/>
    <w:rsid w:val="48A736CF"/>
    <w:rsid w:val="48B116EA"/>
    <w:rsid w:val="48B74C7A"/>
    <w:rsid w:val="48BE32BF"/>
    <w:rsid w:val="48C354EC"/>
    <w:rsid w:val="48D429DD"/>
    <w:rsid w:val="48E01C77"/>
    <w:rsid w:val="48E22285"/>
    <w:rsid w:val="48E50D90"/>
    <w:rsid w:val="48EB0D16"/>
    <w:rsid w:val="48FA15CC"/>
    <w:rsid w:val="49027758"/>
    <w:rsid w:val="490C020A"/>
    <w:rsid w:val="491B63DF"/>
    <w:rsid w:val="491D63E9"/>
    <w:rsid w:val="4932285C"/>
    <w:rsid w:val="49384E02"/>
    <w:rsid w:val="493E2F78"/>
    <w:rsid w:val="495217DF"/>
    <w:rsid w:val="49530EA7"/>
    <w:rsid w:val="4958367A"/>
    <w:rsid w:val="498A16CD"/>
    <w:rsid w:val="49A33C27"/>
    <w:rsid w:val="49A750B5"/>
    <w:rsid w:val="49BE07DA"/>
    <w:rsid w:val="49C84AA0"/>
    <w:rsid w:val="49D7694D"/>
    <w:rsid w:val="4A0244D3"/>
    <w:rsid w:val="4A067C85"/>
    <w:rsid w:val="4A255046"/>
    <w:rsid w:val="4A2E1525"/>
    <w:rsid w:val="4A5A756D"/>
    <w:rsid w:val="4A722B4C"/>
    <w:rsid w:val="4A785772"/>
    <w:rsid w:val="4A842E43"/>
    <w:rsid w:val="4A89105B"/>
    <w:rsid w:val="4AA03A4E"/>
    <w:rsid w:val="4AA341CC"/>
    <w:rsid w:val="4ABB5ACD"/>
    <w:rsid w:val="4AC13295"/>
    <w:rsid w:val="4AC31003"/>
    <w:rsid w:val="4AC40F4C"/>
    <w:rsid w:val="4AC43783"/>
    <w:rsid w:val="4AD25F33"/>
    <w:rsid w:val="4AD61645"/>
    <w:rsid w:val="4ADD641F"/>
    <w:rsid w:val="4AE072CB"/>
    <w:rsid w:val="4AE93159"/>
    <w:rsid w:val="4AEE0C43"/>
    <w:rsid w:val="4AF02EA1"/>
    <w:rsid w:val="4B174032"/>
    <w:rsid w:val="4B250CF8"/>
    <w:rsid w:val="4B2873FD"/>
    <w:rsid w:val="4B326C76"/>
    <w:rsid w:val="4B3D4DE9"/>
    <w:rsid w:val="4B492D39"/>
    <w:rsid w:val="4B533766"/>
    <w:rsid w:val="4B740C56"/>
    <w:rsid w:val="4B7C4100"/>
    <w:rsid w:val="4B830F9B"/>
    <w:rsid w:val="4B8F2DD0"/>
    <w:rsid w:val="4B9B06E8"/>
    <w:rsid w:val="4B9B0C47"/>
    <w:rsid w:val="4B9D4011"/>
    <w:rsid w:val="4BB36BDD"/>
    <w:rsid w:val="4BB60507"/>
    <w:rsid w:val="4BC32290"/>
    <w:rsid w:val="4BC80340"/>
    <w:rsid w:val="4BCA5171"/>
    <w:rsid w:val="4BD0339A"/>
    <w:rsid w:val="4BEB4B03"/>
    <w:rsid w:val="4BF32495"/>
    <w:rsid w:val="4BFA3FA2"/>
    <w:rsid w:val="4C2910DF"/>
    <w:rsid w:val="4C2B4DDD"/>
    <w:rsid w:val="4C562920"/>
    <w:rsid w:val="4C5D1F92"/>
    <w:rsid w:val="4C603F16"/>
    <w:rsid w:val="4C6262E0"/>
    <w:rsid w:val="4C644C45"/>
    <w:rsid w:val="4C6703A3"/>
    <w:rsid w:val="4C6D7518"/>
    <w:rsid w:val="4C923A72"/>
    <w:rsid w:val="4CB96B0F"/>
    <w:rsid w:val="4CBD582C"/>
    <w:rsid w:val="4CC95E72"/>
    <w:rsid w:val="4CDA2AF3"/>
    <w:rsid w:val="4CDF19B6"/>
    <w:rsid w:val="4CE34E9F"/>
    <w:rsid w:val="4CF52D94"/>
    <w:rsid w:val="4D015C34"/>
    <w:rsid w:val="4D030742"/>
    <w:rsid w:val="4D462159"/>
    <w:rsid w:val="4D47409F"/>
    <w:rsid w:val="4D525BE3"/>
    <w:rsid w:val="4D566017"/>
    <w:rsid w:val="4D6022FC"/>
    <w:rsid w:val="4D637556"/>
    <w:rsid w:val="4D7358D6"/>
    <w:rsid w:val="4D7D3EFB"/>
    <w:rsid w:val="4D882A74"/>
    <w:rsid w:val="4D8B0123"/>
    <w:rsid w:val="4DA1281F"/>
    <w:rsid w:val="4DAF14C5"/>
    <w:rsid w:val="4DB9067A"/>
    <w:rsid w:val="4DC605B6"/>
    <w:rsid w:val="4DD732D2"/>
    <w:rsid w:val="4DEC0985"/>
    <w:rsid w:val="4E0538A3"/>
    <w:rsid w:val="4E0E6818"/>
    <w:rsid w:val="4E2603A1"/>
    <w:rsid w:val="4E27683A"/>
    <w:rsid w:val="4E321D35"/>
    <w:rsid w:val="4E397241"/>
    <w:rsid w:val="4E4C50A3"/>
    <w:rsid w:val="4E510698"/>
    <w:rsid w:val="4E576363"/>
    <w:rsid w:val="4E5D49B1"/>
    <w:rsid w:val="4E635567"/>
    <w:rsid w:val="4E674786"/>
    <w:rsid w:val="4E742982"/>
    <w:rsid w:val="4E743D7E"/>
    <w:rsid w:val="4E7F1E8F"/>
    <w:rsid w:val="4E8431F9"/>
    <w:rsid w:val="4E862481"/>
    <w:rsid w:val="4E901072"/>
    <w:rsid w:val="4E9C0636"/>
    <w:rsid w:val="4E9D29FB"/>
    <w:rsid w:val="4EA30DB6"/>
    <w:rsid w:val="4EA7341F"/>
    <w:rsid w:val="4EBD3E8B"/>
    <w:rsid w:val="4EDB58B2"/>
    <w:rsid w:val="4EE925CE"/>
    <w:rsid w:val="4EEB1A94"/>
    <w:rsid w:val="4EEB74E5"/>
    <w:rsid w:val="4EEF2E30"/>
    <w:rsid w:val="4EF24828"/>
    <w:rsid w:val="4EFE7F59"/>
    <w:rsid w:val="4F285975"/>
    <w:rsid w:val="4F2A7BF3"/>
    <w:rsid w:val="4F2E2624"/>
    <w:rsid w:val="4F4E1077"/>
    <w:rsid w:val="4F546156"/>
    <w:rsid w:val="4F5D1434"/>
    <w:rsid w:val="4F844A99"/>
    <w:rsid w:val="4F94662C"/>
    <w:rsid w:val="4FB00163"/>
    <w:rsid w:val="4FB208E7"/>
    <w:rsid w:val="4FE30332"/>
    <w:rsid w:val="4FE70BB4"/>
    <w:rsid w:val="4FE73C01"/>
    <w:rsid w:val="4FE87C31"/>
    <w:rsid w:val="4FEE342A"/>
    <w:rsid w:val="4FF14DCF"/>
    <w:rsid w:val="500815B6"/>
    <w:rsid w:val="500B39BC"/>
    <w:rsid w:val="502173F8"/>
    <w:rsid w:val="5022123F"/>
    <w:rsid w:val="5025703C"/>
    <w:rsid w:val="502B7315"/>
    <w:rsid w:val="503E570B"/>
    <w:rsid w:val="503F32CF"/>
    <w:rsid w:val="5041152A"/>
    <w:rsid w:val="504C77D2"/>
    <w:rsid w:val="50560460"/>
    <w:rsid w:val="50601A5C"/>
    <w:rsid w:val="507E1B25"/>
    <w:rsid w:val="508E3B94"/>
    <w:rsid w:val="508E4492"/>
    <w:rsid w:val="5090223F"/>
    <w:rsid w:val="50924591"/>
    <w:rsid w:val="50A649F5"/>
    <w:rsid w:val="50AB5EB6"/>
    <w:rsid w:val="50AE6FE2"/>
    <w:rsid w:val="50B16618"/>
    <w:rsid w:val="50B8216D"/>
    <w:rsid w:val="50BB6306"/>
    <w:rsid w:val="50CD2E4B"/>
    <w:rsid w:val="50D03285"/>
    <w:rsid w:val="50F66F3D"/>
    <w:rsid w:val="50F8688B"/>
    <w:rsid w:val="50F96AD6"/>
    <w:rsid w:val="50FC4E36"/>
    <w:rsid w:val="5105169B"/>
    <w:rsid w:val="51062881"/>
    <w:rsid w:val="510861B3"/>
    <w:rsid w:val="510956BD"/>
    <w:rsid w:val="51230220"/>
    <w:rsid w:val="51255E87"/>
    <w:rsid w:val="51471753"/>
    <w:rsid w:val="514E4912"/>
    <w:rsid w:val="515400FF"/>
    <w:rsid w:val="51547D82"/>
    <w:rsid w:val="515D735D"/>
    <w:rsid w:val="51781A83"/>
    <w:rsid w:val="51867298"/>
    <w:rsid w:val="51894D69"/>
    <w:rsid w:val="518D21E1"/>
    <w:rsid w:val="51930297"/>
    <w:rsid w:val="51953936"/>
    <w:rsid w:val="519E116A"/>
    <w:rsid w:val="51A2793A"/>
    <w:rsid w:val="51BA0CB7"/>
    <w:rsid w:val="51D129CA"/>
    <w:rsid w:val="51D93F8A"/>
    <w:rsid w:val="51D940B1"/>
    <w:rsid w:val="51E5046A"/>
    <w:rsid w:val="52272B85"/>
    <w:rsid w:val="52284E31"/>
    <w:rsid w:val="523E09B5"/>
    <w:rsid w:val="52687B2A"/>
    <w:rsid w:val="526E0E82"/>
    <w:rsid w:val="527733A7"/>
    <w:rsid w:val="527901C6"/>
    <w:rsid w:val="528F4A24"/>
    <w:rsid w:val="52944BB6"/>
    <w:rsid w:val="529A08FC"/>
    <w:rsid w:val="52A24532"/>
    <w:rsid w:val="52B3363A"/>
    <w:rsid w:val="52C4763C"/>
    <w:rsid w:val="52C56A7E"/>
    <w:rsid w:val="52DE691D"/>
    <w:rsid w:val="52E04D27"/>
    <w:rsid w:val="52ED0C96"/>
    <w:rsid w:val="53061721"/>
    <w:rsid w:val="530C0E6B"/>
    <w:rsid w:val="53166FEF"/>
    <w:rsid w:val="532F77EA"/>
    <w:rsid w:val="53367575"/>
    <w:rsid w:val="533933AA"/>
    <w:rsid w:val="533B7F54"/>
    <w:rsid w:val="535009E1"/>
    <w:rsid w:val="53650168"/>
    <w:rsid w:val="536C2A29"/>
    <w:rsid w:val="538859E4"/>
    <w:rsid w:val="538E3092"/>
    <w:rsid w:val="539F394B"/>
    <w:rsid w:val="53A20FFA"/>
    <w:rsid w:val="53A233E4"/>
    <w:rsid w:val="53A94C48"/>
    <w:rsid w:val="53AA7BC7"/>
    <w:rsid w:val="53AE5EA5"/>
    <w:rsid w:val="53B00B1F"/>
    <w:rsid w:val="53B2409D"/>
    <w:rsid w:val="53B31E73"/>
    <w:rsid w:val="53D6247A"/>
    <w:rsid w:val="53DB3477"/>
    <w:rsid w:val="53DE00FF"/>
    <w:rsid w:val="53E77CBF"/>
    <w:rsid w:val="53FE7128"/>
    <w:rsid w:val="540F3D40"/>
    <w:rsid w:val="54201800"/>
    <w:rsid w:val="54247F22"/>
    <w:rsid w:val="542B4430"/>
    <w:rsid w:val="542C29CD"/>
    <w:rsid w:val="542F1551"/>
    <w:rsid w:val="54381756"/>
    <w:rsid w:val="545750B7"/>
    <w:rsid w:val="545A1EBF"/>
    <w:rsid w:val="54727478"/>
    <w:rsid w:val="54B06F11"/>
    <w:rsid w:val="54B56DF4"/>
    <w:rsid w:val="54B93943"/>
    <w:rsid w:val="54BE5578"/>
    <w:rsid w:val="54BF52B5"/>
    <w:rsid w:val="54CA1A63"/>
    <w:rsid w:val="54CF2D6E"/>
    <w:rsid w:val="54D202CA"/>
    <w:rsid w:val="54D54E59"/>
    <w:rsid w:val="54DD41DB"/>
    <w:rsid w:val="54ED3D78"/>
    <w:rsid w:val="54F52BA3"/>
    <w:rsid w:val="54F54E04"/>
    <w:rsid w:val="550B4121"/>
    <w:rsid w:val="550D5CFC"/>
    <w:rsid w:val="550F3357"/>
    <w:rsid w:val="55126CC5"/>
    <w:rsid w:val="55197997"/>
    <w:rsid w:val="551B7F0A"/>
    <w:rsid w:val="552A6B56"/>
    <w:rsid w:val="5532385A"/>
    <w:rsid w:val="55381D42"/>
    <w:rsid w:val="553C58B1"/>
    <w:rsid w:val="55401B14"/>
    <w:rsid w:val="554748F2"/>
    <w:rsid w:val="554D414C"/>
    <w:rsid w:val="554E7279"/>
    <w:rsid w:val="55594FFB"/>
    <w:rsid w:val="55637CEB"/>
    <w:rsid w:val="55677DDA"/>
    <w:rsid w:val="55757FB9"/>
    <w:rsid w:val="55832BF8"/>
    <w:rsid w:val="55884237"/>
    <w:rsid w:val="558C7FAA"/>
    <w:rsid w:val="55900510"/>
    <w:rsid w:val="55947881"/>
    <w:rsid w:val="55A25EB7"/>
    <w:rsid w:val="55A82784"/>
    <w:rsid w:val="55A97512"/>
    <w:rsid w:val="55B63FD5"/>
    <w:rsid w:val="55C35A76"/>
    <w:rsid w:val="55CC592A"/>
    <w:rsid w:val="55D40743"/>
    <w:rsid w:val="55DD6F2A"/>
    <w:rsid w:val="55E73480"/>
    <w:rsid w:val="55E8339E"/>
    <w:rsid w:val="55F06771"/>
    <w:rsid w:val="560D5F48"/>
    <w:rsid w:val="56106284"/>
    <w:rsid w:val="56116434"/>
    <w:rsid w:val="5617461D"/>
    <w:rsid w:val="56304FC4"/>
    <w:rsid w:val="5632642A"/>
    <w:rsid w:val="5637362F"/>
    <w:rsid w:val="56375B61"/>
    <w:rsid w:val="564944F4"/>
    <w:rsid w:val="564E5820"/>
    <w:rsid w:val="564E7F2C"/>
    <w:rsid w:val="56630C00"/>
    <w:rsid w:val="567739D2"/>
    <w:rsid w:val="56775A0A"/>
    <w:rsid w:val="5686536D"/>
    <w:rsid w:val="568B1DB1"/>
    <w:rsid w:val="568C3C94"/>
    <w:rsid w:val="56A55214"/>
    <w:rsid w:val="56A67978"/>
    <w:rsid w:val="56AC63C5"/>
    <w:rsid w:val="56C1700B"/>
    <w:rsid w:val="56D25618"/>
    <w:rsid w:val="56D7644B"/>
    <w:rsid w:val="56E84A97"/>
    <w:rsid w:val="56FB2A68"/>
    <w:rsid w:val="57011F3E"/>
    <w:rsid w:val="5705646B"/>
    <w:rsid w:val="57060649"/>
    <w:rsid w:val="572657E3"/>
    <w:rsid w:val="5732705F"/>
    <w:rsid w:val="57351D6F"/>
    <w:rsid w:val="57482CC2"/>
    <w:rsid w:val="5752012F"/>
    <w:rsid w:val="576476C1"/>
    <w:rsid w:val="57770501"/>
    <w:rsid w:val="577B3337"/>
    <w:rsid w:val="577D4F28"/>
    <w:rsid w:val="57A33734"/>
    <w:rsid w:val="57AB6ADD"/>
    <w:rsid w:val="57B7178E"/>
    <w:rsid w:val="57B71EB5"/>
    <w:rsid w:val="57B76EED"/>
    <w:rsid w:val="57BD72A7"/>
    <w:rsid w:val="57BE5838"/>
    <w:rsid w:val="57BE5B51"/>
    <w:rsid w:val="57D82354"/>
    <w:rsid w:val="57FC07D9"/>
    <w:rsid w:val="57FF6992"/>
    <w:rsid w:val="580F1B21"/>
    <w:rsid w:val="581B7E79"/>
    <w:rsid w:val="58500F22"/>
    <w:rsid w:val="58587379"/>
    <w:rsid w:val="58667ABC"/>
    <w:rsid w:val="586D57A3"/>
    <w:rsid w:val="587917A0"/>
    <w:rsid w:val="587A4288"/>
    <w:rsid w:val="5880052B"/>
    <w:rsid w:val="58AD27D9"/>
    <w:rsid w:val="58B169A2"/>
    <w:rsid w:val="58B9636C"/>
    <w:rsid w:val="58C37133"/>
    <w:rsid w:val="58C93046"/>
    <w:rsid w:val="58D36BCB"/>
    <w:rsid w:val="58E00BA4"/>
    <w:rsid w:val="58E6349C"/>
    <w:rsid w:val="58EF63EE"/>
    <w:rsid w:val="590317F0"/>
    <w:rsid w:val="59075000"/>
    <w:rsid w:val="593559FD"/>
    <w:rsid w:val="594079B2"/>
    <w:rsid w:val="596A688E"/>
    <w:rsid w:val="5987482A"/>
    <w:rsid w:val="598C6F19"/>
    <w:rsid w:val="599C49A8"/>
    <w:rsid w:val="59A36725"/>
    <w:rsid w:val="59B21BF9"/>
    <w:rsid w:val="59BB4EA3"/>
    <w:rsid w:val="59E9525B"/>
    <w:rsid w:val="59EA4433"/>
    <w:rsid w:val="59F01012"/>
    <w:rsid w:val="59F70BAF"/>
    <w:rsid w:val="5A0D5C90"/>
    <w:rsid w:val="5A0F4AFB"/>
    <w:rsid w:val="5A297D0D"/>
    <w:rsid w:val="5A3B166C"/>
    <w:rsid w:val="5A3C0F08"/>
    <w:rsid w:val="5A3E5B83"/>
    <w:rsid w:val="5A54407C"/>
    <w:rsid w:val="5A5663A3"/>
    <w:rsid w:val="5A571746"/>
    <w:rsid w:val="5A6253E3"/>
    <w:rsid w:val="5A680E5C"/>
    <w:rsid w:val="5A8E2B19"/>
    <w:rsid w:val="5A8E6670"/>
    <w:rsid w:val="5A912613"/>
    <w:rsid w:val="5A9245E9"/>
    <w:rsid w:val="5A953D41"/>
    <w:rsid w:val="5ABC50F4"/>
    <w:rsid w:val="5AC27E1F"/>
    <w:rsid w:val="5ACC4940"/>
    <w:rsid w:val="5AD23086"/>
    <w:rsid w:val="5AD86A6D"/>
    <w:rsid w:val="5AEC14F6"/>
    <w:rsid w:val="5AF124A4"/>
    <w:rsid w:val="5B0D2D1B"/>
    <w:rsid w:val="5B141085"/>
    <w:rsid w:val="5B28192B"/>
    <w:rsid w:val="5B342BAD"/>
    <w:rsid w:val="5B4007EF"/>
    <w:rsid w:val="5B4D1F7C"/>
    <w:rsid w:val="5B551A1D"/>
    <w:rsid w:val="5B66707B"/>
    <w:rsid w:val="5B673066"/>
    <w:rsid w:val="5B6A48A8"/>
    <w:rsid w:val="5B6A6AEE"/>
    <w:rsid w:val="5B731FA9"/>
    <w:rsid w:val="5B785E83"/>
    <w:rsid w:val="5B7C1CD1"/>
    <w:rsid w:val="5B9004A9"/>
    <w:rsid w:val="5B907C6C"/>
    <w:rsid w:val="5B9251EF"/>
    <w:rsid w:val="5BAB5BC4"/>
    <w:rsid w:val="5BB054DF"/>
    <w:rsid w:val="5BB20B74"/>
    <w:rsid w:val="5BC677D8"/>
    <w:rsid w:val="5BEB0120"/>
    <w:rsid w:val="5BEC175C"/>
    <w:rsid w:val="5C097C4E"/>
    <w:rsid w:val="5C1A3A93"/>
    <w:rsid w:val="5C235386"/>
    <w:rsid w:val="5C3B6CFC"/>
    <w:rsid w:val="5C4C2CF4"/>
    <w:rsid w:val="5C615117"/>
    <w:rsid w:val="5C6B1600"/>
    <w:rsid w:val="5C7D70D1"/>
    <w:rsid w:val="5C824577"/>
    <w:rsid w:val="5C8542A8"/>
    <w:rsid w:val="5CA6294E"/>
    <w:rsid w:val="5CDB3358"/>
    <w:rsid w:val="5CE033FF"/>
    <w:rsid w:val="5CED4E0C"/>
    <w:rsid w:val="5CF07F33"/>
    <w:rsid w:val="5D034EE9"/>
    <w:rsid w:val="5D0366E8"/>
    <w:rsid w:val="5D08684C"/>
    <w:rsid w:val="5D0A06B6"/>
    <w:rsid w:val="5D1307E8"/>
    <w:rsid w:val="5D212A05"/>
    <w:rsid w:val="5D28584C"/>
    <w:rsid w:val="5D2F4802"/>
    <w:rsid w:val="5D3444E6"/>
    <w:rsid w:val="5D3F0BDF"/>
    <w:rsid w:val="5D445797"/>
    <w:rsid w:val="5D4806B6"/>
    <w:rsid w:val="5D5B7098"/>
    <w:rsid w:val="5D634782"/>
    <w:rsid w:val="5D654194"/>
    <w:rsid w:val="5D6B2B6F"/>
    <w:rsid w:val="5D6E1B86"/>
    <w:rsid w:val="5D725A84"/>
    <w:rsid w:val="5D8A2CFF"/>
    <w:rsid w:val="5D960EE9"/>
    <w:rsid w:val="5D9A0CFA"/>
    <w:rsid w:val="5D9B296A"/>
    <w:rsid w:val="5DA53D05"/>
    <w:rsid w:val="5DD14397"/>
    <w:rsid w:val="5DD3123F"/>
    <w:rsid w:val="5DD45E00"/>
    <w:rsid w:val="5DD71C7A"/>
    <w:rsid w:val="5DD734EC"/>
    <w:rsid w:val="5DD977EF"/>
    <w:rsid w:val="5DDA4F5F"/>
    <w:rsid w:val="5DEC05A1"/>
    <w:rsid w:val="5DEE0433"/>
    <w:rsid w:val="5DF007E7"/>
    <w:rsid w:val="5DF47D03"/>
    <w:rsid w:val="5DFD51DB"/>
    <w:rsid w:val="5E0173CB"/>
    <w:rsid w:val="5E0B0848"/>
    <w:rsid w:val="5E1D4A67"/>
    <w:rsid w:val="5E1E3787"/>
    <w:rsid w:val="5E1F2E4C"/>
    <w:rsid w:val="5E237029"/>
    <w:rsid w:val="5E3A3BD1"/>
    <w:rsid w:val="5E4F1C2F"/>
    <w:rsid w:val="5E5203B8"/>
    <w:rsid w:val="5E5D7D0E"/>
    <w:rsid w:val="5E6A5399"/>
    <w:rsid w:val="5E71373F"/>
    <w:rsid w:val="5E717191"/>
    <w:rsid w:val="5E830708"/>
    <w:rsid w:val="5E831398"/>
    <w:rsid w:val="5E85633A"/>
    <w:rsid w:val="5E921A45"/>
    <w:rsid w:val="5E975993"/>
    <w:rsid w:val="5EB51FDE"/>
    <w:rsid w:val="5EBA4472"/>
    <w:rsid w:val="5EC3227D"/>
    <w:rsid w:val="5ECA3D37"/>
    <w:rsid w:val="5ED74802"/>
    <w:rsid w:val="5EE153F8"/>
    <w:rsid w:val="5EED7893"/>
    <w:rsid w:val="5EFB2125"/>
    <w:rsid w:val="5EFB6F0A"/>
    <w:rsid w:val="5F0A3A61"/>
    <w:rsid w:val="5F3370DF"/>
    <w:rsid w:val="5F491124"/>
    <w:rsid w:val="5F683B6E"/>
    <w:rsid w:val="5F7D5B44"/>
    <w:rsid w:val="5F875C0C"/>
    <w:rsid w:val="5F8F0B9E"/>
    <w:rsid w:val="5F8F267A"/>
    <w:rsid w:val="5F9F5E21"/>
    <w:rsid w:val="5FAA5E0A"/>
    <w:rsid w:val="5FB7185B"/>
    <w:rsid w:val="5FB94C48"/>
    <w:rsid w:val="5FC9714B"/>
    <w:rsid w:val="5FD74F41"/>
    <w:rsid w:val="5FDE327E"/>
    <w:rsid w:val="5FF37587"/>
    <w:rsid w:val="5FFE57B7"/>
    <w:rsid w:val="6003478C"/>
    <w:rsid w:val="60060CD5"/>
    <w:rsid w:val="60085AA3"/>
    <w:rsid w:val="600E362B"/>
    <w:rsid w:val="60183392"/>
    <w:rsid w:val="601A4CB1"/>
    <w:rsid w:val="601B56CB"/>
    <w:rsid w:val="602C236D"/>
    <w:rsid w:val="603967D7"/>
    <w:rsid w:val="603D3325"/>
    <w:rsid w:val="604040A8"/>
    <w:rsid w:val="60470CE3"/>
    <w:rsid w:val="605214E2"/>
    <w:rsid w:val="606711B4"/>
    <w:rsid w:val="60673C40"/>
    <w:rsid w:val="606A52D4"/>
    <w:rsid w:val="607C3753"/>
    <w:rsid w:val="608C09C9"/>
    <w:rsid w:val="608D1D4E"/>
    <w:rsid w:val="6092569C"/>
    <w:rsid w:val="60964430"/>
    <w:rsid w:val="609A6239"/>
    <w:rsid w:val="60AD0357"/>
    <w:rsid w:val="60B004BE"/>
    <w:rsid w:val="60BA604C"/>
    <w:rsid w:val="60C302BA"/>
    <w:rsid w:val="60C30855"/>
    <w:rsid w:val="60C338B1"/>
    <w:rsid w:val="60D4742F"/>
    <w:rsid w:val="60D95276"/>
    <w:rsid w:val="60E06DEB"/>
    <w:rsid w:val="60E51841"/>
    <w:rsid w:val="61110088"/>
    <w:rsid w:val="61315D5E"/>
    <w:rsid w:val="61421EFD"/>
    <w:rsid w:val="615C5041"/>
    <w:rsid w:val="617A6EE7"/>
    <w:rsid w:val="6182260C"/>
    <w:rsid w:val="618D6AD7"/>
    <w:rsid w:val="619E7CE8"/>
    <w:rsid w:val="61AD68BC"/>
    <w:rsid w:val="61B173D2"/>
    <w:rsid w:val="61D43A2B"/>
    <w:rsid w:val="61E34474"/>
    <w:rsid w:val="61EB5611"/>
    <w:rsid w:val="61FF316E"/>
    <w:rsid w:val="621542CB"/>
    <w:rsid w:val="622A0761"/>
    <w:rsid w:val="624263A2"/>
    <w:rsid w:val="625272C3"/>
    <w:rsid w:val="626B336E"/>
    <w:rsid w:val="626E0821"/>
    <w:rsid w:val="62715337"/>
    <w:rsid w:val="6280204D"/>
    <w:rsid w:val="62866909"/>
    <w:rsid w:val="6290769B"/>
    <w:rsid w:val="62943D08"/>
    <w:rsid w:val="62A05735"/>
    <w:rsid w:val="62A411F8"/>
    <w:rsid w:val="62A81A26"/>
    <w:rsid w:val="62B1166E"/>
    <w:rsid w:val="62BA7A46"/>
    <w:rsid w:val="62C376AC"/>
    <w:rsid w:val="62CE13CB"/>
    <w:rsid w:val="62D2197B"/>
    <w:rsid w:val="62DB028F"/>
    <w:rsid w:val="62F458F9"/>
    <w:rsid w:val="62F6011A"/>
    <w:rsid w:val="62FD2BA9"/>
    <w:rsid w:val="6327422B"/>
    <w:rsid w:val="6328597C"/>
    <w:rsid w:val="633B249F"/>
    <w:rsid w:val="63552D76"/>
    <w:rsid w:val="6359778B"/>
    <w:rsid w:val="635B63E3"/>
    <w:rsid w:val="63710D45"/>
    <w:rsid w:val="63785E35"/>
    <w:rsid w:val="638C3395"/>
    <w:rsid w:val="63B82D87"/>
    <w:rsid w:val="63BA3154"/>
    <w:rsid w:val="63C204B8"/>
    <w:rsid w:val="63CA2E8B"/>
    <w:rsid w:val="63D4153E"/>
    <w:rsid w:val="63DC7755"/>
    <w:rsid w:val="63E43D21"/>
    <w:rsid w:val="63F47D2A"/>
    <w:rsid w:val="63FE2D33"/>
    <w:rsid w:val="64046427"/>
    <w:rsid w:val="640F1891"/>
    <w:rsid w:val="642265C6"/>
    <w:rsid w:val="64264A79"/>
    <w:rsid w:val="64304E58"/>
    <w:rsid w:val="64311867"/>
    <w:rsid w:val="64391ED3"/>
    <w:rsid w:val="6445632E"/>
    <w:rsid w:val="64501C8A"/>
    <w:rsid w:val="64742B63"/>
    <w:rsid w:val="647E661E"/>
    <w:rsid w:val="648939AA"/>
    <w:rsid w:val="648C635C"/>
    <w:rsid w:val="649B1AC2"/>
    <w:rsid w:val="64A7467B"/>
    <w:rsid w:val="64B53322"/>
    <w:rsid w:val="64C61AF8"/>
    <w:rsid w:val="64C86505"/>
    <w:rsid w:val="64CA0AA0"/>
    <w:rsid w:val="64FE700F"/>
    <w:rsid w:val="6500327F"/>
    <w:rsid w:val="6506609B"/>
    <w:rsid w:val="65083216"/>
    <w:rsid w:val="65460728"/>
    <w:rsid w:val="65822810"/>
    <w:rsid w:val="65870C45"/>
    <w:rsid w:val="659705FF"/>
    <w:rsid w:val="65AA6346"/>
    <w:rsid w:val="65B56C47"/>
    <w:rsid w:val="65B8262E"/>
    <w:rsid w:val="65BC15EE"/>
    <w:rsid w:val="65D23D59"/>
    <w:rsid w:val="65D4773F"/>
    <w:rsid w:val="65DC5939"/>
    <w:rsid w:val="65DC7985"/>
    <w:rsid w:val="65F14641"/>
    <w:rsid w:val="65F5655C"/>
    <w:rsid w:val="65F64F18"/>
    <w:rsid w:val="65F7091E"/>
    <w:rsid w:val="65FF0498"/>
    <w:rsid w:val="66052F43"/>
    <w:rsid w:val="6609487E"/>
    <w:rsid w:val="661D25CE"/>
    <w:rsid w:val="66206CF2"/>
    <w:rsid w:val="66265846"/>
    <w:rsid w:val="66287C9C"/>
    <w:rsid w:val="662E4097"/>
    <w:rsid w:val="664805B8"/>
    <w:rsid w:val="665572E9"/>
    <w:rsid w:val="665B55EA"/>
    <w:rsid w:val="66641D58"/>
    <w:rsid w:val="66655F85"/>
    <w:rsid w:val="667C7AEC"/>
    <w:rsid w:val="66863A0F"/>
    <w:rsid w:val="66984358"/>
    <w:rsid w:val="669B7C76"/>
    <w:rsid w:val="66A200F8"/>
    <w:rsid w:val="66A30EC2"/>
    <w:rsid w:val="66AA4BA8"/>
    <w:rsid w:val="66C56058"/>
    <w:rsid w:val="66C955BD"/>
    <w:rsid w:val="66D97420"/>
    <w:rsid w:val="66DC317D"/>
    <w:rsid w:val="66E10E78"/>
    <w:rsid w:val="66E617C5"/>
    <w:rsid w:val="66E910C9"/>
    <w:rsid w:val="670C6D27"/>
    <w:rsid w:val="670D67CE"/>
    <w:rsid w:val="67105BAB"/>
    <w:rsid w:val="671B1631"/>
    <w:rsid w:val="67302DC3"/>
    <w:rsid w:val="674318B2"/>
    <w:rsid w:val="674D4B22"/>
    <w:rsid w:val="67570422"/>
    <w:rsid w:val="675D31B4"/>
    <w:rsid w:val="67646948"/>
    <w:rsid w:val="67666F45"/>
    <w:rsid w:val="676D2F4B"/>
    <w:rsid w:val="677A266A"/>
    <w:rsid w:val="677C1A81"/>
    <w:rsid w:val="677E7198"/>
    <w:rsid w:val="678A426A"/>
    <w:rsid w:val="67914BE1"/>
    <w:rsid w:val="67A01F16"/>
    <w:rsid w:val="67A96661"/>
    <w:rsid w:val="67B163D1"/>
    <w:rsid w:val="67D7447D"/>
    <w:rsid w:val="67F45538"/>
    <w:rsid w:val="680239EB"/>
    <w:rsid w:val="68034597"/>
    <w:rsid w:val="680722DA"/>
    <w:rsid w:val="682211D1"/>
    <w:rsid w:val="6836510C"/>
    <w:rsid w:val="685C6395"/>
    <w:rsid w:val="686318DD"/>
    <w:rsid w:val="68635145"/>
    <w:rsid w:val="687F607E"/>
    <w:rsid w:val="689A41FB"/>
    <w:rsid w:val="689E57F0"/>
    <w:rsid w:val="68A34C5C"/>
    <w:rsid w:val="68B85B1E"/>
    <w:rsid w:val="68E24981"/>
    <w:rsid w:val="69123F86"/>
    <w:rsid w:val="691C1D81"/>
    <w:rsid w:val="691C3525"/>
    <w:rsid w:val="69216128"/>
    <w:rsid w:val="69280874"/>
    <w:rsid w:val="695D6B21"/>
    <w:rsid w:val="69611EE7"/>
    <w:rsid w:val="696C708E"/>
    <w:rsid w:val="696F4D5D"/>
    <w:rsid w:val="69850877"/>
    <w:rsid w:val="698C13C5"/>
    <w:rsid w:val="69BA3522"/>
    <w:rsid w:val="69F0745A"/>
    <w:rsid w:val="6A0D20F2"/>
    <w:rsid w:val="6A1D59EC"/>
    <w:rsid w:val="6A247F72"/>
    <w:rsid w:val="6A3E2393"/>
    <w:rsid w:val="6A435B92"/>
    <w:rsid w:val="6A444DB8"/>
    <w:rsid w:val="6A4D4828"/>
    <w:rsid w:val="6A516AC3"/>
    <w:rsid w:val="6A5303BA"/>
    <w:rsid w:val="6A677080"/>
    <w:rsid w:val="6A6C357E"/>
    <w:rsid w:val="6A711183"/>
    <w:rsid w:val="6A7B4B9C"/>
    <w:rsid w:val="6A7F585E"/>
    <w:rsid w:val="6AAF014C"/>
    <w:rsid w:val="6AC07690"/>
    <w:rsid w:val="6ACB082B"/>
    <w:rsid w:val="6AD3247E"/>
    <w:rsid w:val="6AE4699C"/>
    <w:rsid w:val="6AF317C6"/>
    <w:rsid w:val="6B09696B"/>
    <w:rsid w:val="6B2B0EFD"/>
    <w:rsid w:val="6B2C13E4"/>
    <w:rsid w:val="6B2D2EEB"/>
    <w:rsid w:val="6B410613"/>
    <w:rsid w:val="6B4B0A4C"/>
    <w:rsid w:val="6B4B36C9"/>
    <w:rsid w:val="6B4E75E6"/>
    <w:rsid w:val="6B50310B"/>
    <w:rsid w:val="6B5045E2"/>
    <w:rsid w:val="6B5B3B9E"/>
    <w:rsid w:val="6B5C4553"/>
    <w:rsid w:val="6B695848"/>
    <w:rsid w:val="6B730045"/>
    <w:rsid w:val="6B736A2E"/>
    <w:rsid w:val="6B874340"/>
    <w:rsid w:val="6B884219"/>
    <w:rsid w:val="6B90781F"/>
    <w:rsid w:val="6BA6663C"/>
    <w:rsid w:val="6BA9194F"/>
    <w:rsid w:val="6BE727F5"/>
    <w:rsid w:val="6BEC7AFC"/>
    <w:rsid w:val="6C0858B3"/>
    <w:rsid w:val="6C240DF3"/>
    <w:rsid w:val="6C267BF0"/>
    <w:rsid w:val="6C3E2FAF"/>
    <w:rsid w:val="6C45610F"/>
    <w:rsid w:val="6C59472D"/>
    <w:rsid w:val="6C5A4564"/>
    <w:rsid w:val="6C603744"/>
    <w:rsid w:val="6C637CCF"/>
    <w:rsid w:val="6C7802EB"/>
    <w:rsid w:val="6C89456C"/>
    <w:rsid w:val="6CA20D5B"/>
    <w:rsid w:val="6CB71894"/>
    <w:rsid w:val="6CD63FB3"/>
    <w:rsid w:val="6CFD5D1F"/>
    <w:rsid w:val="6CFE035F"/>
    <w:rsid w:val="6D056EA6"/>
    <w:rsid w:val="6D1766A9"/>
    <w:rsid w:val="6D221E52"/>
    <w:rsid w:val="6D227835"/>
    <w:rsid w:val="6D2834C8"/>
    <w:rsid w:val="6D2F1F0B"/>
    <w:rsid w:val="6D3C6626"/>
    <w:rsid w:val="6D5D0DB5"/>
    <w:rsid w:val="6D6855B1"/>
    <w:rsid w:val="6D7B4AB7"/>
    <w:rsid w:val="6D836C02"/>
    <w:rsid w:val="6D89784B"/>
    <w:rsid w:val="6D9057BE"/>
    <w:rsid w:val="6D9E0566"/>
    <w:rsid w:val="6DBE7F27"/>
    <w:rsid w:val="6DCD0146"/>
    <w:rsid w:val="6DD05277"/>
    <w:rsid w:val="6DF43BD4"/>
    <w:rsid w:val="6E0E1FAB"/>
    <w:rsid w:val="6E2143FB"/>
    <w:rsid w:val="6E317378"/>
    <w:rsid w:val="6E3C2F4C"/>
    <w:rsid w:val="6E3E5591"/>
    <w:rsid w:val="6E4215C6"/>
    <w:rsid w:val="6E4B0158"/>
    <w:rsid w:val="6E4D611F"/>
    <w:rsid w:val="6E567C9E"/>
    <w:rsid w:val="6E635028"/>
    <w:rsid w:val="6E636A71"/>
    <w:rsid w:val="6E685B0A"/>
    <w:rsid w:val="6E73404A"/>
    <w:rsid w:val="6E7355AA"/>
    <w:rsid w:val="6E7D300B"/>
    <w:rsid w:val="6E823708"/>
    <w:rsid w:val="6E8B3F00"/>
    <w:rsid w:val="6E920B5B"/>
    <w:rsid w:val="6E990B16"/>
    <w:rsid w:val="6EB169D3"/>
    <w:rsid w:val="6EB21539"/>
    <w:rsid w:val="6EB829B1"/>
    <w:rsid w:val="6EB978A9"/>
    <w:rsid w:val="6EBE6450"/>
    <w:rsid w:val="6ECC3A24"/>
    <w:rsid w:val="6ED86D3E"/>
    <w:rsid w:val="6EE9744F"/>
    <w:rsid w:val="6EEC3F7C"/>
    <w:rsid w:val="6EF3602C"/>
    <w:rsid w:val="6EFE1485"/>
    <w:rsid w:val="6F031F8E"/>
    <w:rsid w:val="6F0D382C"/>
    <w:rsid w:val="6F2632E8"/>
    <w:rsid w:val="6F30363A"/>
    <w:rsid w:val="6F3316E5"/>
    <w:rsid w:val="6F3F40F9"/>
    <w:rsid w:val="6F5E0205"/>
    <w:rsid w:val="6F6F14E1"/>
    <w:rsid w:val="6FA629D4"/>
    <w:rsid w:val="6FA75ADB"/>
    <w:rsid w:val="6FB77ED4"/>
    <w:rsid w:val="6FBD4D2F"/>
    <w:rsid w:val="6FBF4710"/>
    <w:rsid w:val="6FC9052A"/>
    <w:rsid w:val="6FC9109F"/>
    <w:rsid w:val="6FDB518F"/>
    <w:rsid w:val="6FE217B9"/>
    <w:rsid w:val="6FE529ED"/>
    <w:rsid w:val="6FF733A7"/>
    <w:rsid w:val="70003DD9"/>
    <w:rsid w:val="70072915"/>
    <w:rsid w:val="70172090"/>
    <w:rsid w:val="70195E88"/>
    <w:rsid w:val="701D43BA"/>
    <w:rsid w:val="702B6F43"/>
    <w:rsid w:val="7032079E"/>
    <w:rsid w:val="703C186A"/>
    <w:rsid w:val="70570007"/>
    <w:rsid w:val="705843B4"/>
    <w:rsid w:val="70655A58"/>
    <w:rsid w:val="706A16CA"/>
    <w:rsid w:val="70822BAD"/>
    <w:rsid w:val="708746BC"/>
    <w:rsid w:val="708F7F54"/>
    <w:rsid w:val="709E3D85"/>
    <w:rsid w:val="70A36A35"/>
    <w:rsid w:val="70AC660B"/>
    <w:rsid w:val="70B17138"/>
    <w:rsid w:val="70BB2EF0"/>
    <w:rsid w:val="70BC2801"/>
    <w:rsid w:val="70C6646C"/>
    <w:rsid w:val="70C72A96"/>
    <w:rsid w:val="70FC2D1E"/>
    <w:rsid w:val="71015D6B"/>
    <w:rsid w:val="710266F5"/>
    <w:rsid w:val="71115386"/>
    <w:rsid w:val="71151975"/>
    <w:rsid w:val="71336A65"/>
    <w:rsid w:val="71545B37"/>
    <w:rsid w:val="71570E43"/>
    <w:rsid w:val="71573E01"/>
    <w:rsid w:val="715A268F"/>
    <w:rsid w:val="71702748"/>
    <w:rsid w:val="717C4AD2"/>
    <w:rsid w:val="71867894"/>
    <w:rsid w:val="719F7A78"/>
    <w:rsid w:val="71B623F6"/>
    <w:rsid w:val="71C7540C"/>
    <w:rsid w:val="71D438FF"/>
    <w:rsid w:val="71F64A63"/>
    <w:rsid w:val="71F870B8"/>
    <w:rsid w:val="72021233"/>
    <w:rsid w:val="720B2A1D"/>
    <w:rsid w:val="72380401"/>
    <w:rsid w:val="72502F9F"/>
    <w:rsid w:val="725817D3"/>
    <w:rsid w:val="726E6AD4"/>
    <w:rsid w:val="727C422C"/>
    <w:rsid w:val="728E71EE"/>
    <w:rsid w:val="7292045A"/>
    <w:rsid w:val="72974DBE"/>
    <w:rsid w:val="72A20C20"/>
    <w:rsid w:val="72AC5E95"/>
    <w:rsid w:val="72AD26CF"/>
    <w:rsid w:val="72C13ED7"/>
    <w:rsid w:val="72CF1AC7"/>
    <w:rsid w:val="72E42AFA"/>
    <w:rsid w:val="72E85578"/>
    <w:rsid w:val="72EB4466"/>
    <w:rsid w:val="72F5235D"/>
    <w:rsid w:val="72FA28B3"/>
    <w:rsid w:val="72FD426E"/>
    <w:rsid w:val="73043CFC"/>
    <w:rsid w:val="732B736C"/>
    <w:rsid w:val="732C334F"/>
    <w:rsid w:val="734F0C79"/>
    <w:rsid w:val="734F4185"/>
    <w:rsid w:val="73520620"/>
    <w:rsid w:val="735D1B7C"/>
    <w:rsid w:val="7363274A"/>
    <w:rsid w:val="73691A4A"/>
    <w:rsid w:val="7371152B"/>
    <w:rsid w:val="73777B4D"/>
    <w:rsid w:val="737D67BB"/>
    <w:rsid w:val="738A6895"/>
    <w:rsid w:val="73917325"/>
    <w:rsid w:val="7395427D"/>
    <w:rsid w:val="73BC7089"/>
    <w:rsid w:val="73BE7067"/>
    <w:rsid w:val="73CE3CFD"/>
    <w:rsid w:val="73E406FD"/>
    <w:rsid w:val="73E51541"/>
    <w:rsid w:val="73E52294"/>
    <w:rsid w:val="73EC5464"/>
    <w:rsid w:val="73FF2D64"/>
    <w:rsid w:val="74137154"/>
    <w:rsid w:val="7421310D"/>
    <w:rsid w:val="74257F79"/>
    <w:rsid w:val="74273820"/>
    <w:rsid w:val="7427471C"/>
    <w:rsid w:val="74355B0B"/>
    <w:rsid w:val="74382479"/>
    <w:rsid w:val="743C7157"/>
    <w:rsid w:val="74416F54"/>
    <w:rsid w:val="744B354F"/>
    <w:rsid w:val="7450294E"/>
    <w:rsid w:val="74543139"/>
    <w:rsid w:val="746B732F"/>
    <w:rsid w:val="746E18CB"/>
    <w:rsid w:val="746F3904"/>
    <w:rsid w:val="748D52FA"/>
    <w:rsid w:val="74986414"/>
    <w:rsid w:val="74993216"/>
    <w:rsid w:val="74B44784"/>
    <w:rsid w:val="74B808BF"/>
    <w:rsid w:val="74C03187"/>
    <w:rsid w:val="74E4756E"/>
    <w:rsid w:val="74EA0E1A"/>
    <w:rsid w:val="74ED19FF"/>
    <w:rsid w:val="74F4641C"/>
    <w:rsid w:val="75084E8F"/>
    <w:rsid w:val="7509261E"/>
    <w:rsid w:val="75202656"/>
    <w:rsid w:val="752231CE"/>
    <w:rsid w:val="756625FA"/>
    <w:rsid w:val="75752B04"/>
    <w:rsid w:val="758910BB"/>
    <w:rsid w:val="75955DA9"/>
    <w:rsid w:val="75977910"/>
    <w:rsid w:val="75985DFA"/>
    <w:rsid w:val="759F2A35"/>
    <w:rsid w:val="75B15C41"/>
    <w:rsid w:val="75CC5191"/>
    <w:rsid w:val="75D12923"/>
    <w:rsid w:val="75EA364B"/>
    <w:rsid w:val="75EC6D49"/>
    <w:rsid w:val="75F20996"/>
    <w:rsid w:val="75F96973"/>
    <w:rsid w:val="76123E1D"/>
    <w:rsid w:val="761270F3"/>
    <w:rsid w:val="762135B2"/>
    <w:rsid w:val="762A17C0"/>
    <w:rsid w:val="762D0A29"/>
    <w:rsid w:val="762E6798"/>
    <w:rsid w:val="76425118"/>
    <w:rsid w:val="764838B9"/>
    <w:rsid w:val="764B15DA"/>
    <w:rsid w:val="764C09B4"/>
    <w:rsid w:val="764F5A52"/>
    <w:rsid w:val="766A4A0D"/>
    <w:rsid w:val="768C454B"/>
    <w:rsid w:val="7692667A"/>
    <w:rsid w:val="76982273"/>
    <w:rsid w:val="769A7352"/>
    <w:rsid w:val="76A177B8"/>
    <w:rsid w:val="76AD2761"/>
    <w:rsid w:val="76B64E53"/>
    <w:rsid w:val="76B8001A"/>
    <w:rsid w:val="76B81599"/>
    <w:rsid w:val="76BB2F21"/>
    <w:rsid w:val="76BC314A"/>
    <w:rsid w:val="76CF29D3"/>
    <w:rsid w:val="76EC51FD"/>
    <w:rsid w:val="76F410B8"/>
    <w:rsid w:val="76F60029"/>
    <w:rsid w:val="76F70779"/>
    <w:rsid w:val="771B67DF"/>
    <w:rsid w:val="77272CAB"/>
    <w:rsid w:val="77451578"/>
    <w:rsid w:val="77576666"/>
    <w:rsid w:val="77692EA3"/>
    <w:rsid w:val="77825248"/>
    <w:rsid w:val="7785098B"/>
    <w:rsid w:val="77870D91"/>
    <w:rsid w:val="778A3229"/>
    <w:rsid w:val="779258CC"/>
    <w:rsid w:val="7794068F"/>
    <w:rsid w:val="779A096B"/>
    <w:rsid w:val="779B52FF"/>
    <w:rsid w:val="77A00E75"/>
    <w:rsid w:val="77A80D17"/>
    <w:rsid w:val="77B841F3"/>
    <w:rsid w:val="77C078B1"/>
    <w:rsid w:val="77E66E3C"/>
    <w:rsid w:val="77F3789A"/>
    <w:rsid w:val="780326B9"/>
    <w:rsid w:val="780332E5"/>
    <w:rsid w:val="7833711D"/>
    <w:rsid w:val="78460D63"/>
    <w:rsid w:val="78497C2E"/>
    <w:rsid w:val="78502D35"/>
    <w:rsid w:val="7854087B"/>
    <w:rsid w:val="786A4053"/>
    <w:rsid w:val="78782A0D"/>
    <w:rsid w:val="78785A2F"/>
    <w:rsid w:val="787B5060"/>
    <w:rsid w:val="788720E7"/>
    <w:rsid w:val="78A90B04"/>
    <w:rsid w:val="78C53485"/>
    <w:rsid w:val="78C6693F"/>
    <w:rsid w:val="78C76A01"/>
    <w:rsid w:val="78EC45D8"/>
    <w:rsid w:val="78EC6DF0"/>
    <w:rsid w:val="78F5335B"/>
    <w:rsid w:val="791843E7"/>
    <w:rsid w:val="79233426"/>
    <w:rsid w:val="79260F03"/>
    <w:rsid w:val="79395A92"/>
    <w:rsid w:val="794008FB"/>
    <w:rsid w:val="794708D9"/>
    <w:rsid w:val="794B21A1"/>
    <w:rsid w:val="7964574A"/>
    <w:rsid w:val="79804706"/>
    <w:rsid w:val="79941CF2"/>
    <w:rsid w:val="79973382"/>
    <w:rsid w:val="79B4353E"/>
    <w:rsid w:val="79D33056"/>
    <w:rsid w:val="79D715DF"/>
    <w:rsid w:val="79DC713A"/>
    <w:rsid w:val="79EC0256"/>
    <w:rsid w:val="79F60153"/>
    <w:rsid w:val="79FB6E2C"/>
    <w:rsid w:val="7A36322F"/>
    <w:rsid w:val="7A3C2BAA"/>
    <w:rsid w:val="7A3D2527"/>
    <w:rsid w:val="7A4C2D60"/>
    <w:rsid w:val="7A5C4815"/>
    <w:rsid w:val="7A5E0869"/>
    <w:rsid w:val="7A6E4BF5"/>
    <w:rsid w:val="7A7A2665"/>
    <w:rsid w:val="7A851D5D"/>
    <w:rsid w:val="7A8A2267"/>
    <w:rsid w:val="7AB53126"/>
    <w:rsid w:val="7AB7121B"/>
    <w:rsid w:val="7AB76FE8"/>
    <w:rsid w:val="7AD268E2"/>
    <w:rsid w:val="7ADC0B33"/>
    <w:rsid w:val="7AE14C19"/>
    <w:rsid w:val="7AEA174E"/>
    <w:rsid w:val="7B274176"/>
    <w:rsid w:val="7B306163"/>
    <w:rsid w:val="7B3E17AA"/>
    <w:rsid w:val="7B401C79"/>
    <w:rsid w:val="7B440ED6"/>
    <w:rsid w:val="7B4678D7"/>
    <w:rsid w:val="7B4B2A93"/>
    <w:rsid w:val="7B527515"/>
    <w:rsid w:val="7B7E38A0"/>
    <w:rsid w:val="7B890A24"/>
    <w:rsid w:val="7B8A4A8A"/>
    <w:rsid w:val="7BA936A0"/>
    <w:rsid w:val="7BAA485C"/>
    <w:rsid w:val="7BAD1591"/>
    <w:rsid w:val="7BCD64C2"/>
    <w:rsid w:val="7BD005E8"/>
    <w:rsid w:val="7BD3716B"/>
    <w:rsid w:val="7BEC2711"/>
    <w:rsid w:val="7BF55850"/>
    <w:rsid w:val="7C1054B7"/>
    <w:rsid w:val="7C26369C"/>
    <w:rsid w:val="7C2A465C"/>
    <w:rsid w:val="7C305879"/>
    <w:rsid w:val="7C3411E7"/>
    <w:rsid w:val="7C34521A"/>
    <w:rsid w:val="7C4A2BD1"/>
    <w:rsid w:val="7C576C70"/>
    <w:rsid w:val="7C607511"/>
    <w:rsid w:val="7C6E4349"/>
    <w:rsid w:val="7C77043F"/>
    <w:rsid w:val="7C8A7CDC"/>
    <w:rsid w:val="7C9E5A24"/>
    <w:rsid w:val="7CB4006B"/>
    <w:rsid w:val="7CB93ABB"/>
    <w:rsid w:val="7CC9422E"/>
    <w:rsid w:val="7CD03050"/>
    <w:rsid w:val="7CE656F0"/>
    <w:rsid w:val="7CEB45B7"/>
    <w:rsid w:val="7CED34FF"/>
    <w:rsid w:val="7CEE5458"/>
    <w:rsid w:val="7CF26588"/>
    <w:rsid w:val="7CF565D7"/>
    <w:rsid w:val="7CFA3A46"/>
    <w:rsid w:val="7D0F5720"/>
    <w:rsid w:val="7D2E198F"/>
    <w:rsid w:val="7D3B3737"/>
    <w:rsid w:val="7D3D73AF"/>
    <w:rsid w:val="7D5B27C9"/>
    <w:rsid w:val="7D62117D"/>
    <w:rsid w:val="7D6B7F02"/>
    <w:rsid w:val="7D834A16"/>
    <w:rsid w:val="7D9D0A97"/>
    <w:rsid w:val="7D9D438F"/>
    <w:rsid w:val="7DA514D2"/>
    <w:rsid w:val="7DBB5D06"/>
    <w:rsid w:val="7DCD1A27"/>
    <w:rsid w:val="7DCD4EB5"/>
    <w:rsid w:val="7DD76E6E"/>
    <w:rsid w:val="7E090313"/>
    <w:rsid w:val="7E3E0FEC"/>
    <w:rsid w:val="7E3E1EF2"/>
    <w:rsid w:val="7E4247D7"/>
    <w:rsid w:val="7E517B0C"/>
    <w:rsid w:val="7E566EA2"/>
    <w:rsid w:val="7E5C1ABA"/>
    <w:rsid w:val="7E61281D"/>
    <w:rsid w:val="7E622778"/>
    <w:rsid w:val="7E756346"/>
    <w:rsid w:val="7E85174A"/>
    <w:rsid w:val="7E8B68B9"/>
    <w:rsid w:val="7EAA7C26"/>
    <w:rsid w:val="7EAF1FAA"/>
    <w:rsid w:val="7EB4653A"/>
    <w:rsid w:val="7ECA4601"/>
    <w:rsid w:val="7EDC22AD"/>
    <w:rsid w:val="7EDE4C34"/>
    <w:rsid w:val="7EE34086"/>
    <w:rsid w:val="7EE55F89"/>
    <w:rsid w:val="7EEB5719"/>
    <w:rsid w:val="7EF215E8"/>
    <w:rsid w:val="7EF525E1"/>
    <w:rsid w:val="7EF74FC9"/>
    <w:rsid w:val="7F000B6A"/>
    <w:rsid w:val="7F022EBD"/>
    <w:rsid w:val="7F0B5962"/>
    <w:rsid w:val="7F0C2035"/>
    <w:rsid w:val="7F0F7992"/>
    <w:rsid w:val="7F1B0865"/>
    <w:rsid w:val="7F271AA3"/>
    <w:rsid w:val="7F542B37"/>
    <w:rsid w:val="7F54566E"/>
    <w:rsid w:val="7F6B2248"/>
    <w:rsid w:val="7F6D45C9"/>
    <w:rsid w:val="7F775413"/>
    <w:rsid w:val="7F7D7A8E"/>
    <w:rsid w:val="7F872588"/>
    <w:rsid w:val="7F8725BA"/>
    <w:rsid w:val="7F8C6A8F"/>
    <w:rsid w:val="7F9C175D"/>
    <w:rsid w:val="7FA85877"/>
    <w:rsid w:val="7FAB3A81"/>
    <w:rsid w:val="7FBE68FB"/>
    <w:rsid w:val="7FCB6843"/>
    <w:rsid w:val="7FDC52B9"/>
    <w:rsid w:val="7FE653BC"/>
    <w:rsid w:val="7FEA5C65"/>
    <w:rsid w:val="7FEF11C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9"/>
    <w:semiHidden/>
    <w:unhideWhenUsed/>
    <w:qFormat/>
    <w:uiPriority w:val="99"/>
    <w:pPr>
      <w:spacing w:line="240" w:lineRule="auto"/>
    </w:pPr>
    <w:rPr>
      <w:sz w:val="18"/>
      <w:szCs w:val="18"/>
    </w:rPr>
  </w:style>
  <w:style w:type="paragraph" w:styleId="14">
    <w:name w:val="footer"/>
    <w:basedOn w:val="1"/>
    <w:link w:val="37"/>
    <w:unhideWhenUsed/>
    <w:qFormat/>
    <w:uiPriority w:val="0"/>
    <w:pPr>
      <w:tabs>
        <w:tab w:val="center" w:pos="4153"/>
        <w:tab w:val="right" w:pos="8306"/>
      </w:tabs>
      <w:snapToGrid w:val="0"/>
      <w:jc w:val="left"/>
    </w:pPr>
    <w:rPr>
      <w:sz w:val="18"/>
      <w:szCs w:val="18"/>
    </w:rPr>
  </w:style>
  <w:style w:type="paragraph" w:styleId="15">
    <w:name w:val="header"/>
    <w:basedOn w:val="1"/>
    <w:link w:val="36"/>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paragraph" w:customStyle="1" w:styleId="29">
    <w:name w:val="YJ-Proposal"/>
    <w:basedOn w:val="1"/>
    <w:qFormat/>
    <w:uiPriority w:val="0"/>
    <w:pPr>
      <w:numPr>
        <w:ilvl w:val="0"/>
        <w:numId w:val="2"/>
      </w:numPr>
    </w:pPr>
    <w:rPr>
      <w:rFonts w:eastAsiaTheme="minorEastAsia"/>
      <w:b/>
      <w:bCs/>
      <w:i/>
      <w:iCs/>
      <w:sz w:val="20"/>
      <w:lang w:val="en-GB" w:eastAsia="en-US"/>
    </w:rPr>
  </w:style>
  <w:style w:type="paragraph" w:customStyle="1" w:styleId="30">
    <w:name w:val="YJ-Observation"/>
    <w:basedOn w:val="29"/>
    <w:qFormat/>
    <w:uiPriority w:val="0"/>
    <w:pPr>
      <w:numPr>
        <w:ilvl w:val="0"/>
        <w:numId w:val="3"/>
      </w:numPr>
      <w:tabs>
        <w:tab w:val="left" w:pos="420"/>
      </w:tabs>
    </w:pPr>
  </w:style>
  <w:style w:type="paragraph" w:customStyle="1" w:styleId="31">
    <w:name w:val="References"/>
    <w:basedOn w:val="1"/>
    <w:qFormat/>
    <w:uiPriority w:val="0"/>
    <w:pPr>
      <w:numPr>
        <w:ilvl w:val="0"/>
        <w:numId w:val="4"/>
      </w:numPr>
      <w:spacing w:after="60"/>
    </w:pPr>
    <w:rPr>
      <w:szCs w:val="16"/>
    </w:rPr>
  </w:style>
  <w:style w:type="paragraph" w:styleId="32">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3">
    <w:name w:val="sub-proposal"/>
    <w:basedOn w:val="29"/>
    <w:next w:val="1"/>
    <w:qFormat/>
    <w:uiPriority w:val="0"/>
    <w:pPr>
      <w:numPr>
        <w:numId w:val="5"/>
      </w:numPr>
      <w:tabs>
        <w:tab w:val="left" w:pos="807"/>
      </w:tabs>
    </w:pPr>
  </w:style>
  <w:style w:type="paragraph" w:customStyle="1" w:styleId="34">
    <w:name w:val="样式1"/>
    <w:basedOn w:val="1"/>
    <w:qFormat/>
    <w:uiPriority w:val="0"/>
  </w:style>
  <w:style w:type="paragraph" w:customStyle="1" w:styleId="35">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6">
    <w:name w:val="页眉 Char"/>
    <w:basedOn w:val="24"/>
    <w:link w:val="15"/>
    <w:semiHidden/>
    <w:qFormat/>
    <w:uiPriority w:val="0"/>
    <w:rPr>
      <w:rFonts w:eastAsia="宋体"/>
      <w:kern w:val="2"/>
      <w:sz w:val="21"/>
    </w:rPr>
  </w:style>
  <w:style w:type="character" w:customStyle="1" w:styleId="37">
    <w:name w:val="页脚 Char"/>
    <w:basedOn w:val="24"/>
    <w:link w:val="14"/>
    <w:qFormat/>
    <w:uiPriority w:val="99"/>
    <w:rPr>
      <w:rFonts w:eastAsia="宋体"/>
      <w:kern w:val="2"/>
      <w:sz w:val="18"/>
      <w:szCs w:val="18"/>
    </w:rPr>
  </w:style>
  <w:style w:type="paragraph" w:customStyle="1" w:styleId="38">
    <w:name w:val="YJ--正文"/>
    <w:basedOn w:val="1"/>
    <w:qFormat/>
    <w:uiPriority w:val="0"/>
    <w:pPr>
      <w:spacing w:before="50" w:after="50" w:line="240" w:lineRule="auto"/>
    </w:pPr>
    <w:rPr>
      <w:rFonts w:eastAsia="Times New Roman" w:cs="宋体"/>
      <w:sz w:val="20"/>
    </w:rPr>
  </w:style>
  <w:style w:type="character" w:customStyle="1" w:styleId="39">
    <w:name w:val="批注框文本 Char"/>
    <w:basedOn w:val="24"/>
    <w:link w:val="13"/>
    <w:semiHidden/>
    <w:qFormat/>
    <w:uiPriority w:val="99"/>
    <w:rPr>
      <w:kern w:val="2"/>
      <w:sz w:val="18"/>
      <w:szCs w:val="18"/>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3"/>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2"/>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4</Pages>
  <Words>1243</Words>
  <Characters>5898</Characters>
  <Lines>49</Lines>
  <Paragraphs>14</Paragraphs>
  <TotalTime>65</TotalTime>
  <ScaleCrop>false</ScaleCrop>
  <LinksUpToDate>false</LinksUpToDate>
  <CharactersWithSpaces>7127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ZTE(Liu Wenhao)</cp:lastModifiedBy>
  <dcterms:modified xsi:type="dcterms:W3CDTF">2023-04-10T08:23:02Z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